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45" w:rsidRPr="000750E4" w:rsidRDefault="00AD34FD" w:rsidP="00EF7945">
      <w:pPr>
        <w:pStyle w:val="Default"/>
        <w:jc w:val="center"/>
        <w:rPr>
          <w:b/>
          <w:bCs/>
          <w:smallCaps/>
          <w:sz w:val="30"/>
          <w:szCs w:val="30"/>
        </w:rPr>
      </w:pPr>
      <w:r w:rsidRPr="000750E4">
        <w:rPr>
          <w:b/>
          <w:bCs/>
          <w:smallCaps/>
          <w:sz w:val="30"/>
          <w:szCs w:val="30"/>
        </w:rPr>
        <w:t xml:space="preserve">ODBORNÉ </w:t>
      </w:r>
      <w:r w:rsidR="004D43A4" w:rsidRPr="000750E4">
        <w:rPr>
          <w:b/>
          <w:bCs/>
          <w:smallCaps/>
          <w:sz w:val="30"/>
          <w:szCs w:val="30"/>
        </w:rPr>
        <w:t xml:space="preserve">STANOVISKO </w:t>
      </w:r>
      <w:r w:rsidR="00EF7945" w:rsidRPr="000750E4">
        <w:rPr>
          <w:b/>
          <w:bCs/>
          <w:smallCaps/>
          <w:sz w:val="30"/>
          <w:szCs w:val="30"/>
        </w:rPr>
        <w:t xml:space="preserve"> </w:t>
      </w:r>
    </w:p>
    <w:p w:rsidR="00EF7945" w:rsidRPr="000750E4" w:rsidRDefault="00EF7945" w:rsidP="00EF7945">
      <w:pPr>
        <w:pStyle w:val="Default"/>
        <w:jc w:val="center"/>
        <w:rPr>
          <w:b/>
          <w:bCs/>
          <w:smallCaps/>
          <w:sz w:val="30"/>
          <w:szCs w:val="30"/>
        </w:rPr>
      </w:pPr>
      <w:r w:rsidRPr="000750E4">
        <w:rPr>
          <w:b/>
          <w:bCs/>
          <w:smallCaps/>
          <w:sz w:val="30"/>
          <w:szCs w:val="30"/>
        </w:rPr>
        <w:t xml:space="preserve">hlavného kontrolóra </w:t>
      </w:r>
      <w:r w:rsidR="00D90176" w:rsidRPr="000750E4">
        <w:rPr>
          <w:b/>
          <w:bCs/>
          <w:smallCaps/>
          <w:sz w:val="30"/>
          <w:szCs w:val="30"/>
        </w:rPr>
        <w:t>k  n</w:t>
      </w:r>
      <w:r w:rsidR="00CD4B2C" w:rsidRPr="000750E4">
        <w:rPr>
          <w:b/>
          <w:bCs/>
          <w:smallCaps/>
          <w:sz w:val="30"/>
          <w:szCs w:val="30"/>
        </w:rPr>
        <w:t>ávrhu Záverečného účtu a výroč</w:t>
      </w:r>
      <w:r w:rsidR="00172D5A" w:rsidRPr="000750E4">
        <w:rPr>
          <w:b/>
          <w:bCs/>
          <w:smallCaps/>
          <w:sz w:val="30"/>
          <w:szCs w:val="30"/>
        </w:rPr>
        <w:t xml:space="preserve">nej správy Mesta Stará Ľubovňa </w:t>
      </w:r>
      <w:r w:rsidR="003E1F9B" w:rsidRPr="000750E4">
        <w:rPr>
          <w:b/>
          <w:bCs/>
          <w:smallCaps/>
          <w:sz w:val="30"/>
          <w:szCs w:val="30"/>
        </w:rPr>
        <w:t>za r</w:t>
      </w:r>
      <w:r w:rsidR="006B1E9C" w:rsidRPr="000750E4">
        <w:rPr>
          <w:b/>
          <w:bCs/>
          <w:smallCaps/>
          <w:sz w:val="30"/>
          <w:szCs w:val="30"/>
        </w:rPr>
        <w:t>ok</w:t>
      </w:r>
      <w:r w:rsidR="003E1F9B" w:rsidRPr="000750E4">
        <w:rPr>
          <w:b/>
          <w:bCs/>
          <w:smallCaps/>
          <w:sz w:val="30"/>
          <w:szCs w:val="30"/>
        </w:rPr>
        <w:t xml:space="preserve"> 201</w:t>
      </w:r>
      <w:r w:rsidR="00905B20">
        <w:rPr>
          <w:b/>
          <w:bCs/>
          <w:smallCaps/>
          <w:sz w:val="30"/>
          <w:szCs w:val="30"/>
        </w:rPr>
        <w:t>9</w:t>
      </w:r>
    </w:p>
    <w:p w:rsidR="0050438F" w:rsidRDefault="0050438F" w:rsidP="0050438F">
      <w:pPr>
        <w:pStyle w:val="Default"/>
        <w:rPr>
          <w:b/>
          <w:bCs/>
        </w:rPr>
      </w:pPr>
    </w:p>
    <w:p w:rsidR="00F50439" w:rsidRDefault="00F50439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F13106" w:rsidRDefault="00F13106" w:rsidP="00F13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32B4D">
        <w:rPr>
          <w:rFonts w:ascii="Times New Roman" w:hAnsi="Times New Roman" w:cs="Times New Roman"/>
        </w:rPr>
        <w:t xml:space="preserve">Verejná správa ovplyvňuje </w:t>
      </w:r>
      <w:r>
        <w:rPr>
          <w:rFonts w:ascii="Times New Roman" w:hAnsi="Times New Roman" w:cs="Times New Roman"/>
        </w:rPr>
        <w:t xml:space="preserve">občanov </w:t>
      </w:r>
      <w:r w:rsidR="00932B4D">
        <w:rPr>
          <w:rFonts w:ascii="Times New Roman" w:hAnsi="Times New Roman" w:cs="Times New Roman"/>
        </w:rPr>
        <w:t>azda vo všetkých smeroch, zasahuje tie</w:t>
      </w:r>
      <w:r w:rsidR="00FC7C47">
        <w:rPr>
          <w:rFonts w:ascii="Times New Roman" w:hAnsi="Times New Roman" w:cs="Times New Roman"/>
        </w:rPr>
        <w:t xml:space="preserve">ž do záujmov, práv a povinností regulovaných všeobecne záväznými právnymi predpismi. </w:t>
      </w:r>
      <w:r w:rsidR="00932B4D">
        <w:rPr>
          <w:rFonts w:ascii="Times New Roman" w:hAnsi="Times New Roman" w:cs="Times New Roman"/>
        </w:rPr>
        <w:t>Preto je potrebné, aby bolo zabezpečené jej správne, ale hlavne zákonné fungovanie. A</w:t>
      </w:r>
      <w:r w:rsidR="00F10195">
        <w:rPr>
          <w:rFonts w:ascii="Times New Roman" w:hAnsi="Times New Roman" w:cs="Times New Roman"/>
        </w:rPr>
        <w:t xml:space="preserve"> </w:t>
      </w:r>
      <w:r w:rsidR="00932B4D">
        <w:rPr>
          <w:rFonts w:ascii="Times New Roman" w:hAnsi="Times New Roman" w:cs="Times New Roman"/>
        </w:rPr>
        <w:t xml:space="preserve">k tomu boli vytvorené, tzv. záruky zákonnosti. Jednou z týchto záruk predstavuje aj kontrola vo verejnej správe, ktorá napomáha aj k tomu, aby bolo zabezpečené zákonné, hospodárne, ale aj účelové fungovanie verejnej správy. </w:t>
      </w:r>
      <w:r>
        <w:rPr>
          <w:rFonts w:ascii="Times New Roman" w:hAnsi="Times New Roman" w:cs="Times New Roman"/>
        </w:rPr>
        <w:t xml:space="preserve">Kontrolný systém predstavuje činnosť, ktorá sa dá vykonávať takmer vo všetkých smeroch spoločenského diania. </w:t>
      </w:r>
    </w:p>
    <w:p w:rsidR="003450EE" w:rsidRDefault="003450EE" w:rsidP="00F13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66253" w:rsidRPr="000750E4" w:rsidRDefault="008C58BA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Ľudská myseľ je nedokonalá, dôvodov</w:t>
      </w:r>
      <w:r w:rsidR="00D149DC" w:rsidRPr="000750E4">
        <w:rPr>
          <w:rFonts w:ascii="Times New Roman" w:hAnsi="Times New Roman" w:cs="Times New Roman"/>
        </w:rPr>
        <w:t xml:space="preserve"> prečo</w:t>
      </w:r>
      <w:r w:rsidRPr="000750E4">
        <w:rPr>
          <w:rFonts w:ascii="Times New Roman" w:hAnsi="Times New Roman" w:cs="Times New Roman"/>
        </w:rPr>
        <w:t xml:space="preserve"> je viac</w:t>
      </w:r>
      <w:r w:rsidR="00D149DC" w:rsidRPr="000750E4">
        <w:rPr>
          <w:rFonts w:ascii="Times New Roman" w:hAnsi="Times New Roman" w:cs="Times New Roman"/>
        </w:rPr>
        <w:t>ero</w:t>
      </w:r>
      <w:r w:rsidRPr="000750E4">
        <w:rPr>
          <w:rFonts w:ascii="Times New Roman" w:hAnsi="Times New Roman" w:cs="Times New Roman"/>
        </w:rPr>
        <w:t xml:space="preserve">. Vyberáme si informácie, ktoré nám vyhovujú, a tie, ktoré narúšajú našu predstavu, radšej ignorujeme. </w:t>
      </w:r>
      <w:r w:rsidR="00D66253" w:rsidRPr="000750E4">
        <w:rPr>
          <w:rFonts w:ascii="Times New Roman" w:hAnsi="Times New Roman" w:cs="Times New Roman"/>
        </w:rPr>
        <w:t xml:space="preserve">Na vine môže byť naša ochota viacej počúvať príbehy ako suché fakty, ale aj to, že nás stále vedie intuícia. </w:t>
      </w:r>
      <w:r w:rsidR="00926FC9" w:rsidRPr="000750E4">
        <w:rPr>
          <w:rFonts w:ascii="Times New Roman" w:hAnsi="Times New Roman" w:cs="Times New Roman"/>
        </w:rPr>
        <w:t xml:space="preserve">Schopnosť rozlíšiť pravdu od poloprávd, </w:t>
      </w:r>
      <w:r w:rsidR="005964B4" w:rsidRPr="000750E4">
        <w:rPr>
          <w:rFonts w:ascii="Times New Roman" w:hAnsi="Times New Roman" w:cs="Times New Roman"/>
        </w:rPr>
        <w:t xml:space="preserve">rozoznať názory od faktov, </w:t>
      </w:r>
      <w:r w:rsidR="00926FC9" w:rsidRPr="000750E4">
        <w:rPr>
          <w:rFonts w:ascii="Times New Roman" w:hAnsi="Times New Roman" w:cs="Times New Roman"/>
        </w:rPr>
        <w:t xml:space="preserve">rozmýšľať samostatne, vyhodnocovať fakty vo vzájomných súvislostiach, ale pritom tiež dôverovať iným, sa stáva kľúčovou v živote a praxi. Kritické myslenie sa nedá úplne oddeliť od iných zručností, úzko súvisí nielen s logikou či argumentáciou, ale aj s objemom poznatkov, ktoré človek má a môže sa na </w:t>
      </w:r>
      <w:proofErr w:type="spellStart"/>
      <w:r w:rsidR="00926FC9" w:rsidRPr="000750E4">
        <w:rPr>
          <w:rFonts w:ascii="Times New Roman" w:hAnsi="Times New Roman" w:cs="Times New Roman"/>
        </w:rPr>
        <w:t>ne</w:t>
      </w:r>
      <w:proofErr w:type="spellEnd"/>
      <w:r w:rsidR="00926FC9" w:rsidRPr="000750E4">
        <w:rPr>
          <w:rFonts w:ascii="Times New Roman" w:hAnsi="Times New Roman" w:cs="Times New Roman"/>
        </w:rPr>
        <w:t xml:space="preserve"> pri uvažovaní spoľahnúť, s tvorivosťou, so schopnosťou sa vcítiť sa do prežívania iných, či so súhrnom morálnych hodnôt, ktoré č</w:t>
      </w:r>
      <w:r w:rsidR="005964B4" w:rsidRPr="000750E4">
        <w:rPr>
          <w:rFonts w:ascii="Times New Roman" w:hAnsi="Times New Roman" w:cs="Times New Roman"/>
        </w:rPr>
        <w:t>a</w:t>
      </w:r>
      <w:r w:rsidR="00926FC9" w:rsidRPr="000750E4">
        <w:rPr>
          <w:rFonts w:ascii="Times New Roman" w:hAnsi="Times New Roman" w:cs="Times New Roman"/>
        </w:rPr>
        <w:t xml:space="preserve">sto dávajú jednotlivým argumentom váhu.  </w:t>
      </w:r>
    </w:p>
    <w:p w:rsidR="00D66253" w:rsidRPr="000750E4" w:rsidRDefault="00D66253" w:rsidP="00D66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58BA" w:rsidRPr="000750E4" w:rsidRDefault="00D149DC" w:rsidP="00D66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ab/>
      </w:r>
      <w:r w:rsidR="006652BA" w:rsidRPr="000750E4">
        <w:rPr>
          <w:rFonts w:ascii="Times New Roman" w:hAnsi="Times New Roman" w:cs="Times New Roman"/>
        </w:rPr>
        <w:t>Predkladané stanovisko</w:t>
      </w:r>
      <w:r w:rsidR="005803D0">
        <w:rPr>
          <w:rFonts w:ascii="Times New Roman" w:hAnsi="Times New Roman" w:cs="Times New Roman"/>
        </w:rPr>
        <w:t xml:space="preserve"> má ambíciou byť odbornou </w:t>
      </w:r>
      <w:r w:rsidR="006652BA" w:rsidRPr="000750E4">
        <w:rPr>
          <w:rFonts w:ascii="Times New Roman" w:hAnsi="Times New Roman" w:cs="Times New Roman"/>
        </w:rPr>
        <w:t xml:space="preserve">pomôckou </w:t>
      </w:r>
      <w:r w:rsidR="008C58BA" w:rsidRPr="000750E4">
        <w:rPr>
          <w:rFonts w:ascii="Times New Roman" w:hAnsi="Times New Roman" w:cs="Times New Roman"/>
        </w:rPr>
        <w:t>pre čitateľa</w:t>
      </w:r>
      <w:r w:rsidR="006652BA" w:rsidRPr="000750E4">
        <w:rPr>
          <w:rFonts w:ascii="Times New Roman" w:hAnsi="Times New Roman" w:cs="Times New Roman"/>
        </w:rPr>
        <w:t>, nástrojom pre kohokoľvek, kto má chuť rozmýšľať nad tým, čo vlastne systém</w:t>
      </w:r>
      <w:r w:rsidR="00D66253" w:rsidRPr="000750E4">
        <w:rPr>
          <w:rFonts w:ascii="Times New Roman" w:hAnsi="Times New Roman" w:cs="Times New Roman"/>
        </w:rPr>
        <w:t xml:space="preserve"> územnej samosprávy v</w:t>
      </w:r>
      <w:r w:rsidR="00926FC9" w:rsidRPr="000750E4">
        <w:rPr>
          <w:rFonts w:ascii="Times New Roman" w:hAnsi="Times New Roman" w:cs="Times New Roman"/>
        </w:rPr>
        <w:t xml:space="preserve"> organizačnej, </w:t>
      </w:r>
      <w:r w:rsidR="00D66253" w:rsidRPr="000750E4">
        <w:rPr>
          <w:rFonts w:ascii="Times New Roman" w:hAnsi="Times New Roman" w:cs="Times New Roman"/>
        </w:rPr>
        <w:t>ekonomickej</w:t>
      </w:r>
      <w:r w:rsidR="006652BA" w:rsidRPr="000750E4">
        <w:rPr>
          <w:rFonts w:ascii="Times New Roman" w:hAnsi="Times New Roman" w:cs="Times New Roman"/>
        </w:rPr>
        <w:t>, technick</w:t>
      </w:r>
      <w:r w:rsidR="00D66253" w:rsidRPr="000750E4">
        <w:rPr>
          <w:rFonts w:ascii="Times New Roman" w:hAnsi="Times New Roman" w:cs="Times New Roman"/>
        </w:rPr>
        <w:t>ej</w:t>
      </w:r>
      <w:r w:rsidR="006652BA" w:rsidRPr="000750E4">
        <w:rPr>
          <w:rFonts w:ascii="Times New Roman" w:hAnsi="Times New Roman" w:cs="Times New Roman"/>
        </w:rPr>
        <w:t>, účtovn</w:t>
      </w:r>
      <w:r w:rsidR="00D66253" w:rsidRPr="000750E4">
        <w:rPr>
          <w:rFonts w:ascii="Times New Roman" w:hAnsi="Times New Roman" w:cs="Times New Roman"/>
        </w:rPr>
        <w:t>ej</w:t>
      </w:r>
      <w:r w:rsidR="00926FC9" w:rsidRPr="000750E4">
        <w:rPr>
          <w:rFonts w:ascii="Times New Roman" w:hAnsi="Times New Roman" w:cs="Times New Roman"/>
        </w:rPr>
        <w:t xml:space="preserve"> a</w:t>
      </w:r>
      <w:r w:rsidR="006652BA" w:rsidRPr="000750E4">
        <w:rPr>
          <w:rFonts w:ascii="Times New Roman" w:hAnsi="Times New Roman" w:cs="Times New Roman"/>
        </w:rPr>
        <w:t xml:space="preserve"> pr</w:t>
      </w:r>
      <w:r w:rsidR="00D66253" w:rsidRPr="000750E4">
        <w:rPr>
          <w:rFonts w:ascii="Times New Roman" w:hAnsi="Times New Roman" w:cs="Times New Roman"/>
        </w:rPr>
        <w:t xml:space="preserve">ávnej </w:t>
      </w:r>
      <w:r w:rsidR="00926FC9" w:rsidRPr="000750E4">
        <w:rPr>
          <w:rFonts w:ascii="Times New Roman" w:hAnsi="Times New Roman" w:cs="Times New Roman"/>
        </w:rPr>
        <w:t>pods</w:t>
      </w:r>
      <w:r w:rsidR="00D66253" w:rsidRPr="000750E4">
        <w:rPr>
          <w:rFonts w:ascii="Times New Roman" w:hAnsi="Times New Roman" w:cs="Times New Roman"/>
        </w:rPr>
        <w:t xml:space="preserve">tate </w:t>
      </w:r>
      <w:r w:rsidR="008C58BA" w:rsidRPr="000750E4">
        <w:rPr>
          <w:rFonts w:ascii="Times New Roman" w:hAnsi="Times New Roman" w:cs="Times New Roman"/>
        </w:rPr>
        <w:t xml:space="preserve">absorbuje, na čo si dať pozor a ako dosiahnuť prípadne zmeny myslenia, procesov či rozhodovania. </w:t>
      </w:r>
    </w:p>
    <w:p w:rsidR="008C58BA" w:rsidRPr="000750E4" w:rsidRDefault="008C58BA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01275" w:rsidRDefault="002918A3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 xml:space="preserve">Daňový report </w:t>
      </w:r>
      <w:r w:rsidR="008A0147" w:rsidRPr="000750E4">
        <w:rPr>
          <w:rFonts w:ascii="Times New Roman" w:hAnsi="Times New Roman" w:cs="Times New Roman"/>
        </w:rPr>
        <w:t>príjmov a nedaňových príjmov, zhodnotenie stavu a charakter</w:t>
      </w:r>
      <w:r w:rsidR="00F10F97">
        <w:rPr>
          <w:rFonts w:ascii="Times New Roman" w:hAnsi="Times New Roman" w:cs="Times New Roman"/>
        </w:rPr>
        <w:t xml:space="preserve">u výdavkov a ich vyhodnotenie, </w:t>
      </w:r>
      <w:r w:rsidR="008A0147" w:rsidRPr="000750E4">
        <w:rPr>
          <w:rFonts w:ascii="Times New Roman" w:hAnsi="Times New Roman" w:cs="Times New Roman"/>
        </w:rPr>
        <w:t xml:space="preserve">porovnanie v rokoch predstavuje faktografický </w:t>
      </w:r>
      <w:r w:rsidR="00B70E9D">
        <w:rPr>
          <w:rFonts w:ascii="Times New Roman" w:hAnsi="Times New Roman" w:cs="Times New Roman"/>
        </w:rPr>
        <w:t xml:space="preserve">a </w:t>
      </w:r>
      <w:r w:rsidR="008A0147" w:rsidRPr="000750E4">
        <w:rPr>
          <w:rFonts w:ascii="Times New Roman" w:hAnsi="Times New Roman" w:cs="Times New Roman"/>
        </w:rPr>
        <w:t>analytický opis finančného a ekonomického vyhodnotenia činností mesta</w:t>
      </w:r>
      <w:r w:rsidR="00F55174" w:rsidRPr="000750E4">
        <w:rPr>
          <w:rFonts w:ascii="Times New Roman" w:hAnsi="Times New Roman" w:cs="Times New Roman"/>
        </w:rPr>
        <w:t>. Spolu s finančným a ekonomickým vyhodnotením analytických jednotiek - obchodné spoločnosti, rozpočtové organizácie a príspevková organizáci</w:t>
      </w:r>
      <w:r w:rsidR="00B7582F" w:rsidRPr="000750E4">
        <w:rPr>
          <w:rFonts w:ascii="Times New Roman" w:hAnsi="Times New Roman" w:cs="Times New Roman"/>
        </w:rPr>
        <w:t>a</w:t>
      </w:r>
      <w:r w:rsidR="00F55174" w:rsidRPr="000750E4">
        <w:rPr>
          <w:rFonts w:ascii="Times New Roman" w:hAnsi="Times New Roman" w:cs="Times New Roman"/>
        </w:rPr>
        <w:t xml:space="preserve"> tvorí konsolidovaný </w:t>
      </w:r>
      <w:proofErr w:type="spellStart"/>
      <w:r w:rsidR="00F55174" w:rsidRPr="000750E4">
        <w:rPr>
          <w:rFonts w:ascii="Times New Roman" w:hAnsi="Times New Roman" w:cs="Times New Roman"/>
        </w:rPr>
        <w:t>analyticko</w:t>
      </w:r>
      <w:proofErr w:type="spellEnd"/>
      <w:r w:rsidR="00F55174" w:rsidRPr="000750E4">
        <w:rPr>
          <w:rFonts w:ascii="Times New Roman" w:hAnsi="Times New Roman" w:cs="Times New Roman"/>
        </w:rPr>
        <w:t xml:space="preserve"> – štatistický report v oblasti hospodárenia </w:t>
      </w:r>
      <w:r w:rsidR="009A00C8" w:rsidRPr="000750E4">
        <w:rPr>
          <w:rFonts w:ascii="Times New Roman" w:hAnsi="Times New Roman" w:cs="Times New Roman"/>
        </w:rPr>
        <w:t xml:space="preserve">s majetkom </w:t>
      </w:r>
      <w:r w:rsidR="00F55174" w:rsidRPr="000750E4">
        <w:rPr>
          <w:rFonts w:ascii="Times New Roman" w:hAnsi="Times New Roman" w:cs="Times New Roman"/>
        </w:rPr>
        <w:t xml:space="preserve">a vývoja výnosov, nákladov, tržieb, príjmov a výdavkov, dotácií a výsledkov hospodárenia. </w:t>
      </w:r>
    </w:p>
    <w:p w:rsidR="00601275" w:rsidRDefault="00601275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02D6C" w:rsidRPr="000750E4" w:rsidRDefault="00F50439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Včasné, s</w:t>
      </w:r>
      <w:r w:rsidR="006A780C" w:rsidRPr="000750E4">
        <w:rPr>
          <w:rFonts w:ascii="Times New Roman" w:hAnsi="Times New Roman" w:cs="Times New Roman"/>
        </w:rPr>
        <w:t xml:space="preserve">poľahlivé a efektívne napĺňanie kontrolného systému </w:t>
      </w:r>
      <w:r w:rsidR="00B7582F" w:rsidRPr="000750E4">
        <w:rPr>
          <w:rFonts w:ascii="Times New Roman" w:hAnsi="Times New Roman" w:cs="Times New Roman"/>
        </w:rPr>
        <w:t>v</w:t>
      </w:r>
      <w:r w:rsidR="00AD34FD" w:rsidRPr="000750E4">
        <w:rPr>
          <w:rFonts w:ascii="Times New Roman" w:hAnsi="Times New Roman" w:cs="Times New Roman"/>
        </w:rPr>
        <w:t> samosprávnej jednotke</w:t>
      </w:r>
      <w:r w:rsidR="006A780C" w:rsidRPr="000750E4">
        <w:rPr>
          <w:rFonts w:ascii="Times New Roman" w:hAnsi="Times New Roman" w:cs="Times New Roman"/>
        </w:rPr>
        <w:t xml:space="preserve"> môže plniť jej základný cieľ: včas odhaľovať odchýlky od platných noriem, prijímať účinné opatrenia a tým chrániť hospodárnosť, účelovosť, efektívnosť, transparentnosť a dôveryhodnosť využívania verejných prostriedkov územnej samosprávy. </w:t>
      </w:r>
      <w:r w:rsidR="00AD34FD" w:rsidRPr="000750E4">
        <w:rPr>
          <w:rFonts w:ascii="Times New Roman" w:hAnsi="Times New Roman" w:cs="Times New Roman"/>
        </w:rPr>
        <w:t>F</w:t>
      </w:r>
      <w:r w:rsidR="006A780C" w:rsidRPr="000750E4">
        <w:rPr>
          <w:rFonts w:ascii="Times New Roman" w:hAnsi="Times New Roman" w:cs="Times New Roman"/>
        </w:rPr>
        <w:t>inančná kontrola na mieste, z hľadiska jej zákonom stanovených úloh ako aj z hľadiska uplatnenia základných funkcií kontroly (informačná, výchovná, represívna)</w:t>
      </w:r>
      <w:r w:rsidR="00AD16CE" w:rsidRPr="000750E4">
        <w:rPr>
          <w:rFonts w:ascii="Times New Roman" w:hAnsi="Times New Roman" w:cs="Times New Roman"/>
        </w:rPr>
        <w:t xml:space="preserve">, </w:t>
      </w:r>
      <w:r w:rsidR="006A780C" w:rsidRPr="000750E4">
        <w:rPr>
          <w:rFonts w:ascii="Times New Roman" w:hAnsi="Times New Roman" w:cs="Times New Roman"/>
        </w:rPr>
        <w:t xml:space="preserve">má relatívne stále a jednoznačné zameranie. A preto je na mieste citovať autorov z publikácie „Najlepší s možných svetov _ Hodnota za peniaze v slovenskej verejnej politike.“, cit. </w:t>
      </w:r>
      <w:r w:rsidR="006A780C" w:rsidRPr="000750E4">
        <w:rPr>
          <w:rFonts w:ascii="Times New Roman" w:hAnsi="Times New Roman" w:cs="Times New Roman"/>
          <w:i/>
        </w:rPr>
        <w:t>“Úspešné krajiny 21. storočia s najvyššou kvalitou života sa líšia veľkosťou štátu,</w:t>
      </w:r>
      <w:r w:rsidR="00B7582F" w:rsidRPr="000750E4">
        <w:rPr>
          <w:rFonts w:ascii="Times New Roman" w:hAnsi="Times New Roman" w:cs="Times New Roman"/>
          <w:i/>
        </w:rPr>
        <w:t xml:space="preserve"> no zároveň majú jedno spoločné: </w:t>
      </w:r>
      <w:r w:rsidR="006A780C" w:rsidRPr="000750E4">
        <w:rPr>
          <w:rFonts w:ascii="Times New Roman" w:hAnsi="Times New Roman" w:cs="Times New Roman"/>
          <w:i/>
        </w:rPr>
        <w:t>efektívnu verejnú správu zame</w:t>
      </w:r>
      <w:r w:rsidR="00AD16CE" w:rsidRPr="000750E4">
        <w:rPr>
          <w:rFonts w:ascii="Times New Roman" w:hAnsi="Times New Roman" w:cs="Times New Roman"/>
          <w:i/>
        </w:rPr>
        <w:t xml:space="preserve">ranú na dosahovanie výsledkov.“ </w:t>
      </w:r>
      <w:r w:rsidR="00AD16CE" w:rsidRPr="000750E4">
        <w:rPr>
          <w:rFonts w:ascii="Times New Roman" w:hAnsi="Times New Roman" w:cs="Times New Roman"/>
        </w:rPr>
        <w:t xml:space="preserve">A preto sa hlavným </w:t>
      </w:r>
      <w:r w:rsidR="006A780C" w:rsidRPr="000750E4">
        <w:rPr>
          <w:rFonts w:ascii="Times New Roman" w:hAnsi="Times New Roman" w:cs="Times New Roman"/>
        </w:rPr>
        <w:t xml:space="preserve">cieľom do budúca </w:t>
      </w:r>
      <w:r w:rsidR="00AD16CE" w:rsidRPr="000750E4">
        <w:rPr>
          <w:rFonts w:ascii="Times New Roman" w:hAnsi="Times New Roman" w:cs="Times New Roman"/>
        </w:rPr>
        <w:t xml:space="preserve">javí </w:t>
      </w:r>
      <w:r w:rsidR="006A780C" w:rsidRPr="000750E4">
        <w:rPr>
          <w:rFonts w:ascii="Times New Roman" w:hAnsi="Times New Roman" w:cs="Times New Roman"/>
        </w:rPr>
        <w:t>zaviesť účinný systém hľadania najvyššej hodnoty za peniaze (</w:t>
      </w:r>
      <w:proofErr w:type="spellStart"/>
      <w:r w:rsidR="006A780C" w:rsidRPr="000750E4">
        <w:rPr>
          <w:rFonts w:ascii="Times New Roman" w:hAnsi="Times New Roman" w:cs="Times New Roman"/>
        </w:rPr>
        <w:t>value</w:t>
      </w:r>
      <w:proofErr w:type="spellEnd"/>
      <w:r w:rsidR="006A780C" w:rsidRPr="000750E4">
        <w:rPr>
          <w:rFonts w:ascii="Times New Roman" w:hAnsi="Times New Roman" w:cs="Times New Roman"/>
        </w:rPr>
        <w:t xml:space="preserve"> </w:t>
      </w:r>
      <w:proofErr w:type="spellStart"/>
      <w:r w:rsidR="006A780C" w:rsidRPr="000750E4">
        <w:rPr>
          <w:rFonts w:ascii="Times New Roman" w:hAnsi="Times New Roman" w:cs="Times New Roman"/>
        </w:rPr>
        <w:t>for</w:t>
      </w:r>
      <w:proofErr w:type="spellEnd"/>
      <w:r w:rsidR="006A780C" w:rsidRPr="000750E4">
        <w:rPr>
          <w:rFonts w:ascii="Times New Roman" w:hAnsi="Times New Roman" w:cs="Times New Roman"/>
        </w:rPr>
        <w:t xml:space="preserve"> </w:t>
      </w:r>
      <w:proofErr w:type="spellStart"/>
      <w:r w:rsidR="006A780C" w:rsidRPr="000750E4">
        <w:rPr>
          <w:rFonts w:ascii="Times New Roman" w:hAnsi="Times New Roman" w:cs="Times New Roman"/>
        </w:rPr>
        <w:t>money</w:t>
      </w:r>
      <w:proofErr w:type="spellEnd"/>
      <w:r w:rsidR="006A780C" w:rsidRPr="000750E4">
        <w:rPr>
          <w:rFonts w:ascii="Times New Roman" w:hAnsi="Times New Roman" w:cs="Times New Roman"/>
        </w:rPr>
        <w:t xml:space="preserve">, výhodnosti) </w:t>
      </w:r>
      <w:r w:rsidR="00AD16CE" w:rsidRPr="000750E4">
        <w:rPr>
          <w:rFonts w:ascii="Times New Roman" w:hAnsi="Times New Roman" w:cs="Times New Roman"/>
        </w:rPr>
        <w:t>na všetkých jej analytických jednotkách</w:t>
      </w:r>
      <w:r w:rsidRPr="000750E4">
        <w:rPr>
          <w:rFonts w:ascii="Times New Roman" w:hAnsi="Times New Roman" w:cs="Times New Roman"/>
        </w:rPr>
        <w:t>, napríklad aj prostredníctvom spoločnej databázovo – softvérovej základne</w:t>
      </w:r>
      <w:r w:rsidR="00AD16CE" w:rsidRPr="000750E4">
        <w:rPr>
          <w:rFonts w:ascii="Times New Roman" w:hAnsi="Times New Roman" w:cs="Times New Roman"/>
        </w:rPr>
        <w:t xml:space="preserve">. </w:t>
      </w:r>
    </w:p>
    <w:p w:rsidR="00B7582F" w:rsidRPr="000750E4" w:rsidRDefault="00B7582F" w:rsidP="002D3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438F" w:rsidRPr="000750E4" w:rsidRDefault="000F17A7" w:rsidP="00DF5294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ab/>
      </w:r>
      <w:r w:rsidR="0050438F" w:rsidRPr="000750E4">
        <w:rPr>
          <w:rFonts w:eastAsia="Times New Roman"/>
          <w:sz w:val="22"/>
          <w:szCs w:val="22"/>
          <w:lang w:eastAsia="sk-SK"/>
        </w:rPr>
        <w:t xml:space="preserve">V záujme </w:t>
      </w:r>
      <w:r w:rsidR="006A780C" w:rsidRPr="000750E4">
        <w:rPr>
          <w:rFonts w:eastAsia="Times New Roman"/>
          <w:sz w:val="22"/>
          <w:szCs w:val="22"/>
          <w:lang w:eastAsia="sk-SK"/>
        </w:rPr>
        <w:t xml:space="preserve">vývoja a hospodárenia hospodárskych jednotiek je dôležité vykonávať priebežné (in </w:t>
      </w:r>
      <w:proofErr w:type="spellStart"/>
      <w:r w:rsidR="006A780C" w:rsidRPr="000750E4">
        <w:rPr>
          <w:rFonts w:eastAsia="Times New Roman"/>
          <w:sz w:val="22"/>
          <w:szCs w:val="22"/>
          <w:lang w:eastAsia="sk-SK"/>
        </w:rPr>
        <w:t>time</w:t>
      </w:r>
      <w:proofErr w:type="spellEnd"/>
      <w:r w:rsidR="006A780C" w:rsidRPr="000750E4">
        <w:rPr>
          <w:rFonts w:eastAsia="Times New Roman"/>
          <w:sz w:val="22"/>
          <w:szCs w:val="22"/>
          <w:lang w:eastAsia="sk-SK"/>
        </w:rPr>
        <w:t xml:space="preserve">) a následné (ex </w:t>
      </w:r>
      <w:proofErr w:type="spellStart"/>
      <w:r w:rsidR="006A780C" w:rsidRPr="000750E4">
        <w:rPr>
          <w:rFonts w:eastAsia="Times New Roman"/>
          <w:sz w:val="22"/>
          <w:szCs w:val="22"/>
          <w:lang w:eastAsia="sk-SK"/>
        </w:rPr>
        <w:t>ante</w:t>
      </w:r>
      <w:proofErr w:type="spellEnd"/>
      <w:r w:rsidR="006A780C" w:rsidRPr="000750E4">
        <w:rPr>
          <w:rFonts w:eastAsia="Times New Roman"/>
          <w:sz w:val="22"/>
          <w:szCs w:val="22"/>
          <w:lang w:eastAsia="sk-SK"/>
        </w:rPr>
        <w:t xml:space="preserve">) </w:t>
      </w:r>
      <w:r w:rsidRPr="000750E4">
        <w:rPr>
          <w:sz w:val="22"/>
          <w:szCs w:val="22"/>
        </w:rPr>
        <w:t>vykonávani</w:t>
      </w:r>
      <w:r w:rsidR="00E24A8E" w:rsidRPr="000750E4">
        <w:rPr>
          <w:sz w:val="22"/>
          <w:szCs w:val="22"/>
        </w:rPr>
        <w:t>e</w:t>
      </w:r>
      <w:r w:rsidRPr="000750E4">
        <w:rPr>
          <w:sz w:val="22"/>
          <w:szCs w:val="22"/>
        </w:rPr>
        <w:t xml:space="preserve"> kontroly z hľadiska zákonnosti, predovšetkým so zameraním sa na dodržiavanie hospodárnosti, efektívnosti, účinnosti a</w:t>
      </w:r>
      <w:r w:rsidR="00D149DC" w:rsidRPr="000750E4">
        <w:rPr>
          <w:sz w:val="22"/>
          <w:szCs w:val="22"/>
        </w:rPr>
        <w:t> </w:t>
      </w:r>
      <w:r w:rsidRPr="000750E4">
        <w:rPr>
          <w:sz w:val="22"/>
          <w:szCs w:val="22"/>
        </w:rPr>
        <w:t>účelnosti</w:t>
      </w:r>
      <w:r w:rsidR="00D149DC" w:rsidRPr="000750E4">
        <w:rPr>
          <w:sz w:val="22"/>
          <w:szCs w:val="22"/>
        </w:rPr>
        <w:t>. Súčasne</w:t>
      </w:r>
      <w:r w:rsidRPr="000750E4">
        <w:rPr>
          <w:sz w:val="22"/>
          <w:szCs w:val="22"/>
        </w:rPr>
        <w:t xml:space="preserve"> v záujme </w:t>
      </w:r>
      <w:r w:rsidR="00AD34FD" w:rsidRPr="000750E4">
        <w:rPr>
          <w:sz w:val="22"/>
          <w:szCs w:val="22"/>
        </w:rPr>
        <w:t xml:space="preserve">zodpovednosti </w:t>
      </w:r>
      <w:r w:rsidRPr="000750E4">
        <w:rPr>
          <w:sz w:val="22"/>
          <w:szCs w:val="22"/>
        </w:rPr>
        <w:t xml:space="preserve">všetkých volených predstaviteľov územnej samosprávy </w:t>
      </w:r>
      <w:r w:rsidRPr="000750E4">
        <w:rPr>
          <w:rFonts w:eastAsia="Times New Roman"/>
          <w:sz w:val="22"/>
          <w:szCs w:val="22"/>
          <w:lang w:eastAsia="sk-SK"/>
        </w:rPr>
        <w:t xml:space="preserve">je </w:t>
      </w:r>
      <w:r w:rsidR="0050438F" w:rsidRPr="000750E4">
        <w:rPr>
          <w:rFonts w:eastAsia="Times New Roman"/>
          <w:sz w:val="22"/>
          <w:szCs w:val="22"/>
          <w:lang w:eastAsia="sk-SK"/>
        </w:rPr>
        <w:t>zachovani</w:t>
      </w:r>
      <w:r w:rsidR="00AD34FD" w:rsidRPr="000750E4">
        <w:rPr>
          <w:rFonts w:eastAsia="Times New Roman"/>
          <w:sz w:val="22"/>
          <w:szCs w:val="22"/>
          <w:lang w:eastAsia="sk-SK"/>
        </w:rPr>
        <w:t>e uvedených princípov a</w:t>
      </w:r>
      <w:r w:rsidRPr="000750E4">
        <w:rPr>
          <w:rFonts w:eastAsia="Times New Roman"/>
          <w:sz w:val="22"/>
          <w:szCs w:val="22"/>
          <w:lang w:eastAsia="sk-SK"/>
        </w:rPr>
        <w:t xml:space="preserve"> súčasne </w:t>
      </w:r>
      <w:r w:rsidR="0050438F" w:rsidRPr="000750E4">
        <w:rPr>
          <w:rFonts w:eastAsia="Times New Roman"/>
          <w:b/>
          <w:sz w:val="22"/>
          <w:szCs w:val="22"/>
          <w:lang w:eastAsia="sk-SK"/>
        </w:rPr>
        <w:t xml:space="preserve">povinnosťou </w:t>
      </w:r>
      <w:r w:rsidR="00474C6F" w:rsidRPr="000750E4">
        <w:rPr>
          <w:rFonts w:eastAsia="Times New Roman"/>
          <w:b/>
          <w:sz w:val="22"/>
          <w:szCs w:val="22"/>
          <w:lang w:eastAsia="sk-SK"/>
        </w:rPr>
        <w:t xml:space="preserve">výkonných, riadiacich a </w:t>
      </w:r>
      <w:r w:rsidRPr="000750E4">
        <w:rPr>
          <w:rStyle w:val="st"/>
          <w:b/>
          <w:sz w:val="22"/>
          <w:szCs w:val="22"/>
        </w:rPr>
        <w:t>dozorných</w:t>
      </w:r>
      <w:r w:rsidR="00474C6F" w:rsidRPr="000750E4">
        <w:rPr>
          <w:rStyle w:val="st"/>
          <w:b/>
          <w:sz w:val="22"/>
          <w:szCs w:val="22"/>
        </w:rPr>
        <w:t xml:space="preserve"> orgánom mestskej samosprávy</w:t>
      </w:r>
      <w:r w:rsidR="00474C6F" w:rsidRPr="000750E4">
        <w:rPr>
          <w:rStyle w:val="st"/>
          <w:sz w:val="22"/>
          <w:szCs w:val="22"/>
        </w:rPr>
        <w:t xml:space="preserve"> </w:t>
      </w:r>
      <w:r w:rsidR="0050438F" w:rsidRPr="000750E4">
        <w:rPr>
          <w:rFonts w:eastAsia="Times New Roman"/>
          <w:sz w:val="22"/>
          <w:szCs w:val="22"/>
          <w:lang w:eastAsia="sk-SK"/>
        </w:rPr>
        <w:t xml:space="preserve">: </w:t>
      </w:r>
    </w:p>
    <w:p w:rsidR="00474C6F" w:rsidRPr="000750E4" w:rsidRDefault="00474C6F" w:rsidP="00DF5294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</w:p>
    <w:p w:rsidR="0050438F" w:rsidRPr="000750E4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>sledovať v priebehu rozpočtového roka vývoj hospodárenia</w:t>
      </w:r>
      <w:r w:rsidRPr="000750E4">
        <w:rPr>
          <w:rFonts w:eastAsia="Times New Roman"/>
          <w:sz w:val="22"/>
          <w:szCs w:val="22"/>
          <w:lang w:eastAsia="sk-SK"/>
        </w:rPr>
        <w:t xml:space="preserve"> podľa rozpočtu a v prípade potreby vykonávať zmeny rozpočtu, </w:t>
      </w:r>
    </w:p>
    <w:p w:rsidR="0050438F" w:rsidRPr="000750E4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lastRenderedPageBreak/>
        <w:t>vykonávať v priebehu rozpočtového roka monitorovanie a hodnotenie</w:t>
      </w:r>
      <w:r w:rsidRPr="000750E4">
        <w:rPr>
          <w:rFonts w:eastAsia="Times New Roman"/>
          <w:sz w:val="22"/>
          <w:szCs w:val="22"/>
          <w:lang w:eastAsia="sk-SK"/>
        </w:rPr>
        <w:t xml:space="preserve"> plnenia programov rozpočtu a vykonávať zmeny programov rozpočtu, </w:t>
      </w:r>
      <w:r w:rsidR="00833F20" w:rsidRPr="000750E4">
        <w:rPr>
          <w:rFonts w:eastAsia="Times New Roman"/>
          <w:sz w:val="22"/>
          <w:szCs w:val="22"/>
          <w:lang w:eastAsia="sk-SK"/>
        </w:rPr>
        <w:t>(podrobná analýza výstupov a konečnej pridanej hodnoty – výsledkovo orientovan</w:t>
      </w:r>
      <w:r w:rsidR="00CA3FA1" w:rsidRPr="000750E4">
        <w:rPr>
          <w:rFonts w:eastAsia="Times New Roman"/>
          <w:sz w:val="22"/>
          <w:szCs w:val="22"/>
          <w:lang w:eastAsia="sk-SK"/>
        </w:rPr>
        <w:t>á analýza</w:t>
      </w:r>
      <w:r w:rsidR="00833F20" w:rsidRPr="000750E4">
        <w:rPr>
          <w:rFonts w:eastAsia="Times New Roman"/>
          <w:sz w:val="22"/>
          <w:szCs w:val="22"/>
          <w:lang w:eastAsia="sk-SK"/>
        </w:rPr>
        <w:t xml:space="preserve">), </w:t>
      </w:r>
    </w:p>
    <w:p w:rsidR="0050438F" w:rsidRPr="000750E4" w:rsidRDefault="0050438F" w:rsidP="00DF5294">
      <w:pPr>
        <w:pStyle w:val="Default"/>
        <w:numPr>
          <w:ilvl w:val="0"/>
          <w:numId w:val="3"/>
        </w:numPr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>vykonávať v priebehu celého roka kontrolu hospodárení</w:t>
      </w:r>
      <w:r w:rsidRPr="000750E4">
        <w:rPr>
          <w:rFonts w:eastAsia="Times New Roman"/>
          <w:sz w:val="22"/>
          <w:szCs w:val="22"/>
          <w:lang w:eastAsia="sk-SK"/>
        </w:rPr>
        <w:t xml:space="preserve"> s rozpočtovými prostriedk</w:t>
      </w:r>
      <w:r w:rsidR="00474C6F" w:rsidRPr="000750E4">
        <w:rPr>
          <w:rFonts w:eastAsia="Times New Roman"/>
          <w:sz w:val="22"/>
          <w:szCs w:val="22"/>
          <w:lang w:eastAsia="sk-SK"/>
        </w:rPr>
        <w:t xml:space="preserve">ami podľa osobitných predpisov, </w:t>
      </w:r>
    </w:p>
    <w:p w:rsidR="00474C6F" w:rsidRPr="000750E4" w:rsidRDefault="00474C6F" w:rsidP="00DF5294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1B9C">
        <w:rPr>
          <w:rFonts w:ascii="Times New Roman" w:hAnsi="Times New Roman" w:cs="Times New Roman"/>
          <w:b/>
        </w:rPr>
        <w:t>zabezpečiť, aby sa jej rozpočtové</w:t>
      </w:r>
      <w:r w:rsidRPr="000750E4">
        <w:rPr>
          <w:rFonts w:ascii="Times New Roman" w:hAnsi="Times New Roman" w:cs="Times New Roman"/>
          <w:b/>
        </w:rPr>
        <w:t xml:space="preserve"> prostriedky uvoľňovali iba v takej výške, aká zodpovedá </w:t>
      </w:r>
      <w:r w:rsidRPr="000750E4">
        <w:rPr>
          <w:rFonts w:ascii="Times New Roman" w:hAnsi="Times New Roman" w:cs="Times New Roman"/>
        </w:rPr>
        <w:t xml:space="preserve">rozsahu plnenia úloh zahrnutých v rozpočte, </w:t>
      </w:r>
    </w:p>
    <w:p w:rsidR="00474C6F" w:rsidRPr="000750E4" w:rsidRDefault="00474C6F" w:rsidP="00DF5294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  <w:b/>
        </w:rPr>
        <w:t>nezaväzovať sa v bežnom rozpočtovom roku na také úhrady, ktoré nemá samospráv</w:t>
      </w:r>
      <w:r w:rsidR="00F10F97">
        <w:rPr>
          <w:rFonts w:ascii="Times New Roman" w:hAnsi="Times New Roman" w:cs="Times New Roman"/>
          <w:b/>
        </w:rPr>
        <w:t>ny o</w:t>
      </w:r>
      <w:r w:rsidRPr="000750E4">
        <w:rPr>
          <w:rFonts w:ascii="Times New Roman" w:hAnsi="Times New Roman" w:cs="Times New Roman"/>
          <w:b/>
        </w:rPr>
        <w:t>rgán zabezpečené v rozpočte</w:t>
      </w:r>
      <w:r w:rsidRPr="000750E4">
        <w:rPr>
          <w:rFonts w:ascii="Times New Roman" w:hAnsi="Times New Roman" w:cs="Times New Roman"/>
        </w:rPr>
        <w:t xml:space="preserve"> na bežný rozpočtový rok</w:t>
      </w:r>
      <w:r w:rsidR="002D3342" w:rsidRPr="000750E4">
        <w:rPr>
          <w:rFonts w:ascii="Times New Roman" w:hAnsi="Times New Roman" w:cs="Times New Roman"/>
        </w:rPr>
        <w:t>,</w:t>
      </w:r>
      <w:r w:rsidRPr="000750E4">
        <w:rPr>
          <w:rFonts w:ascii="Times New Roman" w:hAnsi="Times New Roman" w:cs="Times New Roman"/>
        </w:rPr>
        <w:t xml:space="preserve"> a ktorú budú zaťažovať programové rozpočty na nasledujúce roky, </w:t>
      </w:r>
    </w:p>
    <w:p w:rsidR="00F10F97" w:rsidRDefault="00474C6F" w:rsidP="00F10F97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  <w:b/>
        </w:rPr>
        <w:t>finančné prostriedky používať len na krytie nevyhnutných potrieb</w:t>
      </w:r>
      <w:r w:rsidRPr="000750E4">
        <w:rPr>
          <w:rFonts w:ascii="Times New Roman" w:hAnsi="Times New Roman" w:cs="Times New Roman"/>
        </w:rPr>
        <w:t xml:space="preserve"> a opatrení vyplývajúcich z osobitných predpisov. </w:t>
      </w:r>
    </w:p>
    <w:p w:rsidR="00402D6C" w:rsidRPr="00F10F97" w:rsidRDefault="00402D6C" w:rsidP="00F10F97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70E9D" w:rsidRPr="00440396" w:rsidRDefault="00932B4D" w:rsidP="00DF52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V úvode</w:t>
      </w:r>
      <w:r w:rsidR="00B70E9D" w:rsidRPr="00440396">
        <w:rPr>
          <w:rFonts w:ascii="Times New Roman" w:eastAsia="Times New Roman" w:hAnsi="Times New Roman" w:cs="Times New Roman"/>
          <w:lang w:eastAsia="sk-SK"/>
        </w:rPr>
        <w:t xml:space="preserve"> je potrebné oceniť spracovateľov dát a autora dokumentu za včasnosť predložených údajov, zhutnený materiál s množstvom textov, štatistických údajov (vrátane </w:t>
      </w:r>
      <w:r w:rsidR="007D73E9" w:rsidRPr="00440396">
        <w:rPr>
          <w:rFonts w:ascii="Times New Roman" w:eastAsia="Times New Roman" w:hAnsi="Times New Roman" w:cs="Times New Roman"/>
          <w:lang w:eastAsia="sk-SK"/>
        </w:rPr>
        <w:t>porovnania predchádzajúcich období</w:t>
      </w:r>
      <w:r w:rsidR="0081387A" w:rsidRPr="00440396">
        <w:rPr>
          <w:rFonts w:ascii="Times New Roman" w:eastAsia="Times New Roman" w:hAnsi="Times New Roman" w:cs="Times New Roman"/>
          <w:lang w:eastAsia="sk-SK"/>
        </w:rPr>
        <w:t>)</w:t>
      </w:r>
      <w:r w:rsidR="007D73E9" w:rsidRPr="00440396">
        <w:rPr>
          <w:rFonts w:ascii="Times New Roman" w:eastAsia="Times New Roman" w:hAnsi="Times New Roman" w:cs="Times New Roman"/>
          <w:lang w:eastAsia="sk-SK"/>
        </w:rPr>
        <w:t xml:space="preserve">, ktorý má nesmiernu </w:t>
      </w:r>
      <w:r w:rsidR="00B70E9D" w:rsidRPr="00440396">
        <w:rPr>
          <w:rFonts w:ascii="Times New Roman" w:eastAsia="Times New Roman" w:hAnsi="Times New Roman" w:cs="Times New Roman"/>
          <w:lang w:eastAsia="sk-SK"/>
        </w:rPr>
        <w:t>vypovedac</w:t>
      </w:r>
      <w:r w:rsidR="007D73E9" w:rsidRPr="00440396">
        <w:rPr>
          <w:rFonts w:ascii="Times New Roman" w:eastAsia="Times New Roman" w:hAnsi="Times New Roman" w:cs="Times New Roman"/>
          <w:lang w:eastAsia="sk-SK"/>
        </w:rPr>
        <w:t>i</w:t>
      </w:r>
      <w:r w:rsidR="00B70E9D" w:rsidRPr="00440396">
        <w:rPr>
          <w:rFonts w:ascii="Times New Roman" w:eastAsia="Times New Roman" w:hAnsi="Times New Roman" w:cs="Times New Roman"/>
          <w:lang w:eastAsia="sk-SK"/>
        </w:rPr>
        <w:t>u schopnosť</w:t>
      </w:r>
      <w:r w:rsidR="00440396">
        <w:rPr>
          <w:rFonts w:ascii="Times New Roman" w:eastAsia="Times New Roman" w:hAnsi="Times New Roman" w:cs="Times New Roman"/>
          <w:lang w:eastAsia="sk-SK"/>
        </w:rPr>
        <w:t xml:space="preserve"> na ďalšie pracovné využitie. </w:t>
      </w:r>
      <w:r w:rsidR="007D73E9" w:rsidRPr="00440396">
        <w:rPr>
          <w:rFonts w:ascii="Times New Roman" w:eastAsia="Times New Roman" w:hAnsi="Times New Roman" w:cs="Times New Roman"/>
          <w:lang w:eastAsia="sk-SK"/>
        </w:rPr>
        <w:t xml:space="preserve"> </w:t>
      </w:r>
    </w:p>
    <w:p w:rsidR="007D73E9" w:rsidRPr="000750E4" w:rsidRDefault="007D73E9" w:rsidP="00DF5294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:rsidR="00B6297B" w:rsidRPr="000750E4" w:rsidRDefault="0050438F" w:rsidP="00DF5294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>V súlade s 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Príkazom primátora mesta č. </w:t>
      </w:r>
      <w:r w:rsidR="008D12AB">
        <w:rPr>
          <w:rFonts w:eastAsia="Times New Roman"/>
          <w:b/>
          <w:sz w:val="22"/>
          <w:szCs w:val="22"/>
          <w:lang w:eastAsia="sk-SK"/>
        </w:rPr>
        <w:t>1/2020</w:t>
      </w:r>
      <w:r w:rsidR="006A7C41" w:rsidRPr="000750E4">
        <w:rPr>
          <w:rFonts w:eastAsia="Times New Roman"/>
          <w:b/>
          <w:sz w:val="22"/>
          <w:szCs w:val="22"/>
          <w:lang w:eastAsia="sk-SK"/>
        </w:rPr>
        <w:t xml:space="preserve"> zo </w:t>
      </w:r>
      <w:r w:rsidR="006A7C41" w:rsidRPr="0081387A">
        <w:rPr>
          <w:rFonts w:eastAsia="Times New Roman"/>
          <w:b/>
          <w:sz w:val="22"/>
          <w:szCs w:val="22"/>
          <w:lang w:eastAsia="sk-SK"/>
        </w:rPr>
        <w:t xml:space="preserve">dňa </w:t>
      </w:r>
      <w:r w:rsidR="00AD34FD" w:rsidRPr="0081387A">
        <w:rPr>
          <w:rFonts w:eastAsia="Times New Roman"/>
          <w:b/>
          <w:sz w:val="22"/>
          <w:szCs w:val="22"/>
          <w:lang w:eastAsia="sk-SK"/>
        </w:rPr>
        <w:t>0</w:t>
      </w:r>
      <w:r w:rsidR="008D12AB">
        <w:rPr>
          <w:rFonts w:eastAsia="Times New Roman"/>
          <w:b/>
          <w:sz w:val="22"/>
          <w:szCs w:val="22"/>
          <w:lang w:eastAsia="sk-SK"/>
        </w:rPr>
        <w:t>9.01</w:t>
      </w:r>
      <w:r w:rsidRPr="0081387A">
        <w:rPr>
          <w:rFonts w:eastAsia="Times New Roman"/>
          <w:b/>
          <w:sz w:val="22"/>
          <w:szCs w:val="22"/>
          <w:lang w:eastAsia="sk-SK"/>
        </w:rPr>
        <w:t>.20</w:t>
      </w:r>
      <w:r w:rsidR="008D12AB">
        <w:rPr>
          <w:rFonts w:eastAsia="Times New Roman"/>
          <w:b/>
          <w:sz w:val="22"/>
          <w:szCs w:val="22"/>
          <w:lang w:eastAsia="sk-SK"/>
        </w:rPr>
        <w:t>20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 o zabezpečení kontroly plnenia </w:t>
      </w:r>
      <w:r w:rsidR="00804476" w:rsidRPr="000750E4">
        <w:rPr>
          <w:rFonts w:eastAsia="Times New Roman"/>
          <w:b/>
          <w:sz w:val="22"/>
          <w:szCs w:val="22"/>
          <w:lang w:eastAsia="sk-SK"/>
        </w:rPr>
        <w:t xml:space="preserve">programového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rozpočtu </w:t>
      </w:r>
      <w:r w:rsidR="00AD34FD" w:rsidRPr="000750E4">
        <w:rPr>
          <w:rFonts w:eastAsia="Times New Roman"/>
          <w:b/>
          <w:sz w:val="22"/>
          <w:szCs w:val="22"/>
          <w:lang w:eastAsia="sk-SK"/>
        </w:rPr>
        <w:t xml:space="preserve">mesta, </w:t>
      </w:r>
      <w:r w:rsidR="00804476" w:rsidRPr="000750E4">
        <w:rPr>
          <w:b/>
          <w:bCs/>
          <w:iCs/>
          <w:sz w:val="22"/>
          <w:szCs w:val="22"/>
        </w:rPr>
        <w:t>rozpočtových organizácií a rozboru hospodárenia mestskej príspevkovej organizácie k 31.12.201</w:t>
      </w:r>
      <w:r w:rsidR="008D12AB">
        <w:rPr>
          <w:b/>
          <w:bCs/>
          <w:iCs/>
          <w:sz w:val="22"/>
          <w:szCs w:val="22"/>
        </w:rPr>
        <w:t>9</w:t>
      </w:r>
      <w:r w:rsidR="00932B4D">
        <w:rPr>
          <w:b/>
          <w:bCs/>
          <w:iCs/>
          <w:sz w:val="22"/>
          <w:szCs w:val="22"/>
        </w:rPr>
        <w:t xml:space="preserve">, </w:t>
      </w:r>
      <w:r w:rsidRPr="000750E4">
        <w:rPr>
          <w:rFonts w:eastAsia="Times New Roman"/>
          <w:sz w:val="22"/>
          <w:szCs w:val="22"/>
          <w:lang w:eastAsia="sk-SK"/>
        </w:rPr>
        <w:t xml:space="preserve">stanovený na deň </w:t>
      </w:r>
      <w:r w:rsidR="008D12AB">
        <w:rPr>
          <w:rFonts w:eastAsia="Times New Roman"/>
          <w:sz w:val="22"/>
          <w:szCs w:val="22"/>
          <w:lang w:eastAsia="sk-SK"/>
        </w:rPr>
        <w:t>30.3.2020</w:t>
      </w:r>
      <w:r w:rsidR="00AD34FD" w:rsidRPr="000750E4">
        <w:rPr>
          <w:rFonts w:eastAsia="Times New Roman"/>
          <w:sz w:val="22"/>
          <w:szCs w:val="22"/>
          <w:lang w:eastAsia="sk-SK"/>
        </w:rPr>
        <w:t xml:space="preserve"> a </w:t>
      </w:r>
      <w:r w:rsidR="008D12AB">
        <w:rPr>
          <w:rFonts w:eastAsia="Times New Roman"/>
          <w:sz w:val="22"/>
          <w:szCs w:val="22"/>
          <w:lang w:eastAsia="sk-SK"/>
        </w:rPr>
        <w:t>31</w:t>
      </w:r>
      <w:r w:rsidR="00601275">
        <w:rPr>
          <w:rFonts w:eastAsia="Times New Roman"/>
          <w:sz w:val="22"/>
          <w:szCs w:val="22"/>
          <w:lang w:eastAsia="sk-SK"/>
        </w:rPr>
        <w:t>.</w:t>
      </w:r>
      <w:r w:rsidR="00AD34FD" w:rsidRPr="000750E4">
        <w:rPr>
          <w:rFonts w:eastAsia="Times New Roman"/>
          <w:sz w:val="22"/>
          <w:szCs w:val="22"/>
          <w:lang w:eastAsia="sk-SK"/>
        </w:rPr>
        <w:t>3.20</w:t>
      </w:r>
      <w:r w:rsidR="008D12AB">
        <w:rPr>
          <w:rFonts w:eastAsia="Times New Roman"/>
          <w:sz w:val="22"/>
          <w:szCs w:val="22"/>
          <w:lang w:eastAsia="sk-SK"/>
        </w:rPr>
        <w:t>20</w:t>
      </w:r>
      <w:r w:rsidRPr="000750E4">
        <w:rPr>
          <w:rFonts w:eastAsia="Times New Roman"/>
          <w:sz w:val="22"/>
          <w:szCs w:val="22"/>
          <w:lang w:eastAsia="sk-SK"/>
        </w:rPr>
        <w:t xml:space="preserve">, </w:t>
      </w:r>
      <w:r w:rsidR="00B6297B" w:rsidRPr="000750E4">
        <w:rPr>
          <w:rFonts w:eastAsia="Times New Roman"/>
          <w:sz w:val="22"/>
          <w:szCs w:val="22"/>
          <w:lang w:eastAsia="sk-SK"/>
        </w:rPr>
        <w:t>za účasti</w:t>
      </w:r>
      <w:r w:rsidRPr="000750E4">
        <w:rPr>
          <w:rFonts w:eastAsia="Times New Roman"/>
          <w:sz w:val="22"/>
          <w:szCs w:val="22"/>
          <w:lang w:eastAsia="sk-SK"/>
        </w:rPr>
        <w:t xml:space="preserve"> členov</w:t>
      </w:r>
      <w:r w:rsidR="00B6297B" w:rsidRPr="000750E4">
        <w:rPr>
          <w:rFonts w:eastAsia="Times New Roman"/>
          <w:sz w:val="22"/>
          <w:szCs w:val="22"/>
          <w:lang w:eastAsia="sk-SK"/>
        </w:rPr>
        <w:t xml:space="preserve"> </w:t>
      </w:r>
      <w:r w:rsidR="00DD79E1" w:rsidRPr="000750E4">
        <w:rPr>
          <w:rFonts w:eastAsia="Times New Roman"/>
          <w:sz w:val="22"/>
          <w:szCs w:val="22"/>
          <w:lang w:eastAsia="sk-SK"/>
        </w:rPr>
        <w:t>finančno-</w:t>
      </w:r>
      <w:r w:rsidR="00B6297B" w:rsidRPr="000750E4">
        <w:rPr>
          <w:rFonts w:eastAsia="Times New Roman"/>
          <w:sz w:val="22"/>
          <w:szCs w:val="22"/>
          <w:lang w:eastAsia="sk-SK"/>
        </w:rPr>
        <w:t>ekonomickej komisie, určených</w:t>
      </w:r>
      <w:r w:rsidRPr="000750E4">
        <w:rPr>
          <w:rFonts w:eastAsia="Times New Roman"/>
          <w:sz w:val="22"/>
          <w:szCs w:val="22"/>
          <w:lang w:eastAsia="sk-SK"/>
        </w:rPr>
        <w:t xml:space="preserve"> členov</w:t>
      </w:r>
      <w:r w:rsidR="00B6297B" w:rsidRPr="000750E4">
        <w:rPr>
          <w:rFonts w:eastAsia="Times New Roman"/>
          <w:sz w:val="22"/>
          <w:szCs w:val="22"/>
          <w:lang w:eastAsia="sk-SK"/>
        </w:rPr>
        <w:t xml:space="preserve"> </w:t>
      </w:r>
      <w:r w:rsidRPr="000750E4">
        <w:rPr>
          <w:rFonts w:eastAsia="Times New Roman"/>
          <w:sz w:val="22"/>
          <w:szCs w:val="22"/>
          <w:lang w:eastAsia="sk-SK"/>
        </w:rPr>
        <w:t>komisie a v zmysle prerokovaných záverov z fina</w:t>
      </w:r>
      <w:r w:rsidR="0081387A">
        <w:rPr>
          <w:rFonts w:eastAsia="Times New Roman"/>
          <w:sz w:val="22"/>
          <w:szCs w:val="22"/>
          <w:lang w:eastAsia="sk-SK"/>
        </w:rPr>
        <w:t xml:space="preserve">nčného plnenia rozpočtu mesta, </w:t>
      </w:r>
      <w:r w:rsidRPr="000750E4">
        <w:rPr>
          <w:rFonts w:eastAsia="Times New Roman"/>
          <w:sz w:val="22"/>
          <w:szCs w:val="22"/>
          <w:lang w:eastAsia="sk-SK"/>
        </w:rPr>
        <w:t xml:space="preserve">rozboru hospodárenia mestskej príspevkovej organizácie Verejnoprospešné služby </w:t>
      </w:r>
      <w:r w:rsidR="00AD34FD" w:rsidRPr="000750E4">
        <w:rPr>
          <w:rFonts w:eastAsia="Times New Roman"/>
          <w:sz w:val="22"/>
          <w:szCs w:val="22"/>
          <w:lang w:eastAsia="sk-SK"/>
        </w:rPr>
        <w:t>a v</w:t>
      </w:r>
      <w:r w:rsidR="00DD79E1" w:rsidRPr="000750E4">
        <w:rPr>
          <w:rFonts w:eastAsia="Times New Roman"/>
          <w:sz w:val="22"/>
          <w:szCs w:val="22"/>
          <w:lang w:eastAsia="sk-SK"/>
        </w:rPr>
        <w:t xml:space="preserve"> súlade s </w:t>
      </w:r>
      <w:proofErr w:type="spellStart"/>
      <w:r w:rsidR="00AD34FD" w:rsidRPr="000750E4">
        <w:rPr>
          <w:rFonts w:eastAsia="Times New Roman"/>
          <w:sz w:val="22"/>
          <w:szCs w:val="22"/>
          <w:lang w:eastAsia="sk-SK"/>
        </w:rPr>
        <w:t>ust</w:t>
      </w:r>
      <w:proofErr w:type="spellEnd"/>
      <w:r w:rsidR="00AD34FD" w:rsidRPr="000750E4">
        <w:rPr>
          <w:rFonts w:eastAsia="Times New Roman"/>
          <w:sz w:val="22"/>
          <w:szCs w:val="22"/>
          <w:lang w:eastAsia="sk-SK"/>
        </w:rPr>
        <w:t xml:space="preserve">. § 18f ods. 1 písmeno c) zákona č. 369/1990 Zb. o obecnom zriadení v znení neskorších predpisov </w:t>
      </w:r>
    </w:p>
    <w:p w:rsidR="00B6297B" w:rsidRPr="000750E4" w:rsidRDefault="00B6297B" w:rsidP="00DF5294">
      <w:pPr>
        <w:pStyle w:val="Default"/>
        <w:ind w:firstLine="708"/>
        <w:jc w:val="center"/>
        <w:rPr>
          <w:rFonts w:eastAsia="Times New Roman"/>
          <w:b/>
          <w:sz w:val="22"/>
          <w:szCs w:val="22"/>
          <w:lang w:eastAsia="sk-SK"/>
        </w:rPr>
      </w:pPr>
    </w:p>
    <w:p w:rsidR="00B6297B" w:rsidRPr="000750E4" w:rsidRDefault="00CD4B2C" w:rsidP="00DF5294">
      <w:pPr>
        <w:pStyle w:val="Default"/>
        <w:ind w:firstLine="708"/>
        <w:jc w:val="center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>predkl</w:t>
      </w:r>
      <w:r w:rsidR="0050438F" w:rsidRPr="000750E4">
        <w:rPr>
          <w:rFonts w:eastAsia="Times New Roman"/>
          <w:b/>
          <w:sz w:val="22"/>
          <w:szCs w:val="22"/>
          <w:lang w:eastAsia="sk-SK"/>
        </w:rPr>
        <w:t xml:space="preserve">adám </w:t>
      </w:r>
      <w:r w:rsidR="00AD34FD" w:rsidRPr="000750E4">
        <w:rPr>
          <w:rFonts w:eastAsia="Times New Roman"/>
          <w:b/>
          <w:sz w:val="22"/>
          <w:szCs w:val="22"/>
          <w:lang w:eastAsia="sk-SK"/>
        </w:rPr>
        <w:t xml:space="preserve">odborné </w:t>
      </w:r>
      <w:r w:rsidR="0050438F" w:rsidRPr="000750E4">
        <w:rPr>
          <w:rFonts w:eastAsia="Times New Roman"/>
          <w:b/>
          <w:sz w:val="22"/>
          <w:szCs w:val="22"/>
          <w:lang w:eastAsia="sk-SK"/>
        </w:rPr>
        <w:t>stanovisko</w:t>
      </w:r>
    </w:p>
    <w:p w:rsidR="00172D5A" w:rsidRPr="000750E4" w:rsidRDefault="00172D5A" w:rsidP="00DF5294">
      <w:pPr>
        <w:pStyle w:val="Default"/>
        <w:ind w:firstLine="708"/>
        <w:jc w:val="center"/>
        <w:rPr>
          <w:rFonts w:eastAsia="Times New Roman"/>
          <w:b/>
          <w:sz w:val="22"/>
          <w:szCs w:val="22"/>
          <w:lang w:eastAsia="sk-SK"/>
        </w:rPr>
      </w:pPr>
    </w:p>
    <w:p w:rsidR="0081387A" w:rsidRDefault="00B6297B" w:rsidP="00CD4B2C">
      <w:pPr>
        <w:pStyle w:val="Default"/>
        <w:jc w:val="both"/>
        <w:rPr>
          <w:bCs/>
          <w:sz w:val="22"/>
          <w:szCs w:val="22"/>
        </w:rPr>
      </w:pPr>
      <w:r w:rsidRPr="000750E4">
        <w:rPr>
          <w:bCs/>
          <w:iCs/>
          <w:sz w:val="22"/>
          <w:szCs w:val="22"/>
        </w:rPr>
        <w:t xml:space="preserve">k </w:t>
      </w:r>
      <w:r w:rsidR="00172D5A" w:rsidRPr="000750E4">
        <w:rPr>
          <w:bCs/>
          <w:sz w:val="22"/>
          <w:szCs w:val="22"/>
        </w:rPr>
        <w:t>n</w:t>
      </w:r>
      <w:r w:rsidR="00CD4B2C" w:rsidRPr="000750E4">
        <w:rPr>
          <w:bCs/>
          <w:sz w:val="22"/>
          <w:szCs w:val="22"/>
        </w:rPr>
        <w:t>ávrhu Záverečného účtu a výročnej správy Mesta Stará Ľubovňa</w:t>
      </w:r>
      <w:r w:rsidR="00172D5A" w:rsidRPr="000750E4">
        <w:rPr>
          <w:bCs/>
          <w:sz w:val="22"/>
          <w:szCs w:val="22"/>
        </w:rPr>
        <w:t xml:space="preserve"> </w:t>
      </w:r>
      <w:r w:rsidR="00CD4B2C" w:rsidRPr="000750E4">
        <w:rPr>
          <w:bCs/>
          <w:sz w:val="22"/>
          <w:szCs w:val="22"/>
        </w:rPr>
        <w:t>za r</w:t>
      </w:r>
      <w:r w:rsidR="00AD34FD" w:rsidRPr="000750E4">
        <w:rPr>
          <w:bCs/>
          <w:sz w:val="22"/>
          <w:szCs w:val="22"/>
        </w:rPr>
        <w:t>ok</w:t>
      </w:r>
      <w:r w:rsidR="00CD4B2C" w:rsidRPr="000750E4">
        <w:rPr>
          <w:bCs/>
          <w:sz w:val="22"/>
          <w:szCs w:val="22"/>
        </w:rPr>
        <w:t xml:space="preserve"> 201</w:t>
      </w:r>
      <w:r w:rsidR="008D12AB">
        <w:rPr>
          <w:bCs/>
          <w:sz w:val="22"/>
          <w:szCs w:val="22"/>
        </w:rPr>
        <w:t>9</w:t>
      </w:r>
      <w:r w:rsidR="00AD34FD" w:rsidRPr="000750E4">
        <w:rPr>
          <w:bCs/>
          <w:sz w:val="22"/>
          <w:szCs w:val="22"/>
        </w:rPr>
        <w:t xml:space="preserve"> (</w:t>
      </w:r>
      <w:r w:rsidR="0081387A">
        <w:rPr>
          <w:bCs/>
          <w:sz w:val="22"/>
          <w:szCs w:val="22"/>
        </w:rPr>
        <w:t xml:space="preserve">ďalej len „odborné stanovisko“). Odborné stanovisko je </w:t>
      </w:r>
      <w:r w:rsidR="00DD79E1" w:rsidRPr="000750E4">
        <w:rPr>
          <w:bCs/>
          <w:sz w:val="22"/>
          <w:szCs w:val="22"/>
        </w:rPr>
        <w:t xml:space="preserve">spracované na podklade </w:t>
      </w:r>
      <w:r w:rsidR="00AD34FD" w:rsidRPr="000750E4">
        <w:rPr>
          <w:bCs/>
          <w:sz w:val="22"/>
          <w:szCs w:val="22"/>
        </w:rPr>
        <w:t xml:space="preserve">návrhu </w:t>
      </w:r>
      <w:r w:rsidR="0081387A">
        <w:rPr>
          <w:bCs/>
          <w:sz w:val="22"/>
          <w:szCs w:val="22"/>
        </w:rPr>
        <w:t xml:space="preserve">dokumentov: </w:t>
      </w:r>
    </w:p>
    <w:p w:rsidR="0081387A" w:rsidRPr="006177AE" w:rsidRDefault="0081387A" w:rsidP="006177AE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Záverečný účet </w:t>
      </w:r>
      <w:r w:rsidR="008D12AB">
        <w:rPr>
          <w:bCs/>
          <w:sz w:val="22"/>
          <w:szCs w:val="22"/>
        </w:rPr>
        <w:t>a výročná správa za rok 2019</w:t>
      </w:r>
      <w:r w:rsidR="006177AE">
        <w:rPr>
          <w:bCs/>
          <w:sz w:val="22"/>
          <w:szCs w:val="22"/>
        </w:rPr>
        <w:t xml:space="preserve"> (ďalej len „Záverečný účet“), </w:t>
      </w:r>
      <w:r w:rsidRPr="006177AE">
        <w:rPr>
          <w:bCs/>
          <w:sz w:val="22"/>
          <w:szCs w:val="22"/>
        </w:rPr>
        <w:t xml:space="preserve"> </w:t>
      </w:r>
    </w:p>
    <w:p w:rsidR="0081387A" w:rsidRDefault="0081387A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Verejnoprospešné služby, príspevková organizácia Stará Ľubov</w:t>
      </w:r>
      <w:r w:rsidR="008D12AB">
        <w:rPr>
          <w:bCs/>
          <w:sz w:val="22"/>
          <w:szCs w:val="22"/>
        </w:rPr>
        <w:t>ňa: Komplexný rozbor za rok 2019</w:t>
      </w:r>
      <w:r>
        <w:rPr>
          <w:bCs/>
          <w:sz w:val="22"/>
          <w:szCs w:val="22"/>
        </w:rPr>
        <w:t xml:space="preserve">, </w:t>
      </w:r>
    </w:p>
    <w:p w:rsidR="0081387A" w:rsidRDefault="0081387A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Základná škola, Komenského 6, 064 01 Stará Ľubovňa: Kontrola plnenia rozpočtu školy k 31.12.201</w:t>
      </w:r>
      <w:r w:rsidR="008D12AB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, </w:t>
      </w:r>
    </w:p>
    <w:p w:rsidR="0081387A" w:rsidRDefault="0081387A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Základná škola, Levočská 6, 064 01 Stará Ľubovňa: Kontrola pl</w:t>
      </w:r>
      <w:r w:rsidR="008D12AB">
        <w:rPr>
          <w:bCs/>
          <w:sz w:val="22"/>
          <w:szCs w:val="22"/>
        </w:rPr>
        <w:t>nenia rozpočtu školy za rok 2019</w:t>
      </w:r>
      <w:r>
        <w:rPr>
          <w:bCs/>
          <w:sz w:val="22"/>
          <w:szCs w:val="22"/>
        </w:rPr>
        <w:t xml:space="preserve">, </w:t>
      </w:r>
    </w:p>
    <w:p w:rsidR="0081387A" w:rsidRDefault="0081387A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Základná škola, Za vodou 14, 064 01 Stará Ľubovňa: Kontrola pl</w:t>
      </w:r>
      <w:r w:rsidR="008D12AB">
        <w:rPr>
          <w:bCs/>
          <w:sz w:val="22"/>
          <w:szCs w:val="22"/>
        </w:rPr>
        <w:t>nenia rozpočtu školy za rok 2019</w:t>
      </w:r>
      <w:r>
        <w:rPr>
          <w:bCs/>
          <w:sz w:val="22"/>
          <w:szCs w:val="22"/>
        </w:rPr>
        <w:t xml:space="preserve">, </w:t>
      </w:r>
    </w:p>
    <w:p w:rsidR="0081387A" w:rsidRDefault="0081387A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Základná škola, </w:t>
      </w:r>
      <w:proofErr w:type="spellStart"/>
      <w:r>
        <w:rPr>
          <w:bCs/>
          <w:sz w:val="22"/>
          <w:szCs w:val="22"/>
        </w:rPr>
        <w:t>Podsadek</w:t>
      </w:r>
      <w:proofErr w:type="spellEnd"/>
      <w:r>
        <w:rPr>
          <w:bCs/>
          <w:sz w:val="22"/>
          <w:szCs w:val="22"/>
        </w:rPr>
        <w:t xml:space="preserve"> 140, 064 01 Stará Ľubovňa: Kontrola pln</w:t>
      </w:r>
      <w:r w:rsidR="008D12AB">
        <w:rPr>
          <w:bCs/>
          <w:sz w:val="22"/>
          <w:szCs w:val="22"/>
        </w:rPr>
        <w:t>enia rozpočtu školy za rok 2019</w:t>
      </w:r>
      <w:r>
        <w:rPr>
          <w:bCs/>
          <w:sz w:val="22"/>
          <w:szCs w:val="22"/>
        </w:rPr>
        <w:t xml:space="preserve">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Materská škola, Tatranská 21, 064 01, Stará Ľubovňa: Kontrola plnenia rozpočtu školy k 31.12.201</w:t>
      </w:r>
      <w:r w:rsidR="008D12AB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Materská škola, </w:t>
      </w:r>
      <w:proofErr w:type="spellStart"/>
      <w:r>
        <w:rPr>
          <w:bCs/>
          <w:sz w:val="22"/>
          <w:szCs w:val="22"/>
        </w:rPr>
        <w:t>Vsetínska</w:t>
      </w:r>
      <w:proofErr w:type="spellEnd"/>
      <w:r>
        <w:rPr>
          <w:bCs/>
          <w:sz w:val="22"/>
          <w:szCs w:val="22"/>
        </w:rPr>
        <w:t xml:space="preserve"> 36, 064 01 Stará Ľubovňa, Kontrola plnenia rozpočtu školy za rok 201</w:t>
      </w:r>
      <w:r w:rsidR="008D12AB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Základná umelecká škola Jána </w:t>
      </w:r>
      <w:proofErr w:type="spellStart"/>
      <w:r>
        <w:rPr>
          <w:bCs/>
          <w:sz w:val="22"/>
          <w:szCs w:val="22"/>
        </w:rPr>
        <w:t>Melkoviča</w:t>
      </w:r>
      <w:proofErr w:type="spellEnd"/>
      <w:r>
        <w:rPr>
          <w:bCs/>
          <w:sz w:val="22"/>
          <w:szCs w:val="22"/>
        </w:rPr>
        <w:t>, Kontrola plnenia rozpočtu školy za rok 201</w:t>
      </w:r>
      <w:r w:rsidR="008D12AB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Centrum voľného času, Farbiarska 35/7, 064 01 Stará Ľubovňa, Kontrola plnenia rozpočtu CVČ k 31.12.201</w:t>
      </w:r>
      <w:r w:rsidR="008D12AB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Vyúčtovanie poskytnutie dotácie na rok 2018: Základná škola s materskou školou sv. Cyrila a Metoda, Štúrova 3, Stará Ľubovňa,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Vyúčtovanie poskytnutie dotácie na rok 2018: Špeciálna základná škola sv. Anny, Štúrova 5, 064 01 Stará Ľubovňa, </w:t>
      </w:r>
    </w:p>
    <w:p w:rsidR="007030DD" w:rsidRDefault="007030DD" w:rsidP="0081387A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Zúčtovanie dotácií poskytnutých na bežné výdavky: Súkromná základná umelecká škola, Štúrova 3, 064 01 Stará Ľubovňa, </w:t>
      </w:r>
    </w:p>
    <w:p w:rsidR="00AD34FD" w:rsidRDefault="007030DD" w:rsidP="00CD4B2C">
      <w:pPr>
        <w:pStyle w:val="Default"/>
        <w:numPr>
          <w:ilvl w:val="0"/>
          <w:numId w:val="3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Zúčtovanie dotácií </w:t>
      </w:r>
      <w:r w:rsidR="006177AE">
        <w:rPr>
          <w:bCs/>
          <w:sz w:val="22"/>
          <w:szCs w:val="22"/>
        </w:rPr>
        <w:t>poskytnutých na mzdy a prevádzku v roku 201</w:t>
      </w:r>
      <w:r w:rsidR="008D12AB">
        <w:rPr>
          <w:bCs/>
          <w:sz w:val="22"/>
          <w:szCs w:val="22"/>
        </w:rPr>
        <w:t>9</w:t>
      </w:r>
      <w:r w:rsidR="006177AE">
        <w:rPr>
          <w:bCs/>
          <w:sz w:val="22"/>
          <w:szCs w:val="22"/>
        </w:rPr>
        <w:t xml:space="preserve"> za Súkromné centrum </w:t>
      </w:r>
      <w:proofErr w:type="spellStart"/>
      <w:r w:rsidR="006177AE">
        <w:rPr>
          <w:bCs/>
          <w:sz w:val="22"/>
          <w:szCs w:val="22"/>
        </w:rPr>
        <w:t>špeciálno</w:t>
      </w:r>
      <w:proofErr w:type="spellEnd"/>
      <w:r w:rsidR="006177AE">
        <w:rPr>
          <w:bCs/>
          <w:sz w:val="22"/>
          <w:szCs w:val="22"/>
        </w:rPr>
        <w:t xml:space="preserve"> – pedagogického poradenstva, Levočská 1, 064 01 Stará Ľubovňa. </w:t>
      </w:r>
    </w:p>
    <w:p w:rsidR="006177AE" w:rsidRPr="006177AE" w:rsidRDefault="006177AE" w:rsidP="006177AE">
      <w:pPr>
        <w:pStyle w:val="Default"/>
        <w:ind w:left="720"/>
        <w:jc w:val="both"/>
        <w:rPr>
          <w:bCs/>
          <w:sz w:val="22"/>
          <w:szCs w:val="22"/>
        </w:rPr>
      </w:pPr>
    </w:p>
    <w:p w:rsidR="0050438F" w:rsidRPr="000750E4" w:rsidRDefault="00932B4D" w:rsidP="00CD4B2C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D149DC" w:rsidRPr="000750E4">
        <w:rPr>
          <w:bCs/>
          <w:sz w:val="22"/>
          <w:szCs w:val="22"/>
        </w:rPr>
        <w:t>O</w:t>
      </w:r>
      <w:r w:rsidR="00DD79E1" w:rsidRPr="000750E4">
        <w:rPr>
          <w:bCs/>
          <w:sz w:val="22"/>
          <w:szCs w:val="22"/>
        </w:rPr>
        <w:t xml:space="preserve">dborné </w:t>
      </w:r>
      <w:r w:rsidR="00CA3FA1" w:rsidRPr="000750E4">
        <w:rPr>
          <w:bCs/>
          <w:sz w:val="22"/>
          <w:szCs w:val="22"/>
        </w:rPr>
        <w:t xml:space="preserve">stanovisko </w:t>
      </w:r>
      <w:r w:rsidR="00F07DD1" w:rsidRPr="000750E4">
        <w:rPr>
          <w:bCs/>
          <w:sz w:val="22"/>
          <w:szCs w:val="22"/>
        </w:rPr>
        <w:t xml:space="preserve">si kladie za </w:t>
      </w:r>
      <w:r w:rsidR="00F07DD1" w:rsidRPr="000750E4">
        <w:rPr>
          <w:b/>
          <w:bCs/>
          <w:sz w:val="22"/>
          <w:szCs w:val="22"/>
        </w:rPr>
        <w:t xml:space="preserve">cieľ </w:t>
      </w:r>
      <w:r w:rsidR="00006241">
        <w:rPr>
          <w:b/>
          <w:bCs/>
          <w:sz w:val="22"/>
          <w:szCs w:val="22"/>
        </w:rPr>
        <w:t>porovnať</w:t>
      </w:r>
      <w:r w:rsidR="00F07DD1" w:rsidRPr="000750E4">
        <w:rPr>
          <w:b/>
          <w:bCs/>
          <w:sz w:val="22"/>
          <w:szCs w:val="22"/>
        </w:rPr>
        <w:t xml:space="preserve"> </w:t>
      </w:r>
      <w:r w:rsidR="006177AE">
        <w:rPr>
          <w:b/>
          <w:bCs/>
          <w:sz w:val="22"/>
          <w:szCs w:val="22"/>
        </w:rPr>
        <w:t xml:space="preserve">plánované a skutočné výsledky, </w:t>
      </w:r>
      <w:r w:rsidR="00006241">
        <w:rPr>
          <w:b/>
          <w:bCs/>
          <w:sz w:val="22"/>
          <w:szCs w:val="22"/>
        </w:rPr>
        <w:t xml:space="preserve">zhodnotiť </w:t>
      </w:r>
      <w:r w:rsidR="00F07DD1" w:rsidRPr="000750E4">
        <w:rPr>
          <w:b/>
          <w:bCs/>
          <w:sz w:val="22"/>
          <w:szCs w:val="22"/>
        </w:rPr>
        <w:t>medziročné výsled</w:t>
      </w:r>
      <w:r w:rsidR="00006241">
        <w:rPr>
          <w:b/>
          <w:bCs/>
          <w:sz w:val="22"/>
          <w:szCs w:val="22"/>
        </w:rPr>
        <w:t xml:space="preserve">ky, </w:t>
      </w:r>
      <w:r w:rsidR="008D12AB">
        <w:rPr>
          <w:b/>
          <w:bCs/>
          <w:sz w:val="22"/>
          <w:szCs w:val="22"/>
        </w:rPr>
        <w:t xml:space="preserve">určiť </w:t>
      </w:r>
      <w:r w:rsidR="00006241">
        <w:rPr>
          <w:b/>
          <w:bCs/>
          <w:sz w:val="22"/>
          <w:szCs w:val="22"/>
        </w:rPr>
        <w:t>trendy</w:t>
      </w:r>
      <w:r w:rsidR="004552BC">
        <w:rPr>
          <w:b/>
          <w:bCs/>
          <w:sz w:val="22"/>
          <w:szCs w:val="22"/>
        </w:rPr>
        <w:t xml:space="preserve"> vývoja programov, podprogramov,</w:t>
      </w:r>
      <w:r w:rsidR="00F85171">
        <w:rPr>
          <w:b/>
          <w:bCs/>
          <w:sz w:val="22"/>
          <w:szCs w:val="22"/>
        </w:rPr>
        <w:t xml:space="preserve"> vyhodnotiť ich zameranie, </w:t>
      </w:r>
      <w:r w:rsidR="004552BC">
        <w:rPr>
          <w:b/>
          <w:bCs/>
          <w:sz w:val="22"/>
          <w:szCs w:val="22"/>
        </w:rPr>
        <w:t xml:space="preserve"> identifikovať témy </w:t>
      </w:r>
      <w:r w:rsidR="00F07DD1" w:rsidRPr="000750E4">
        <w:rPr>
          <w:b/>
          <w:bCs/>
          <w:sz w:val="22"/>
          <w:szCs w:val="22"/>
        </w:rPr>
        <w:t>a</w:t>
      </w:r>
      <w:r w:rsidR="004552BC">
        <w:rPr>
          <w:b/>
          <w:bCs/>
          <w:sz w:val="22"/>
          <w:szCs w:val="22"/>
        </w:rPr>
        <w:t xml:space="preserve"> navrhnúť </w:t>
      </w:r>
      <w:r w:rsidR="00006241">
        <w:rPr>
          <w:b/>
          <w:bCs/>
          <w:sz w:val="22"/>
          <w:szCs w:val="22"/>
        </w:rPr>
        <w:t xml:space="preserve">opatrenia </w:t>
      </w:r>
      <w:r w:rsidR="00CA3FA1" w:rsidRPr="000750E4">
        <w:rPr>
          <w:b/>
          <w:bCs/>
          <w:sz w:val="22"/>
          <w:szCs w:val="22"/>
        </w:rPr>
        <w:t xml:space="preserve">pre </w:t>
      </w:r>
      <w:r w:rsidR="00F07DD1" w:rsidRPr="000750E4">
        <w:rPr>
          <w:b/>
          <w:bCs/>
          <w:sz w:val="22"/>
          <w:szCs w:val="22"/>
        </w:rPr>
        <w:t xml:space="preserve">ďalšiu </w:t>
      </w:r>
      <w:r w:rsidR="00CA3FA1" w:rsidRPr="000750E4">
        <w:rPr>
          <w:b/>
          <w:bCs/>
          <w:sz w:val="22"/>
          <w:szCs w:val="22"/>
        </w:rPr>
        <w:t xml:space="preserve">odbornú diskusiu </w:t>
      </w:r>
      <w:r w:rsidR="00006241">
        <w:rPr>
          <w:b/>
          <w:bCs/>
          <w:sz w:val="22"/>
          <w:szCs w:val="22"/>
        </w:rPr>
        <w:t xml:space="preserve">o rozhodovaní, </w:t>
      </w:r>
      <w:r w:rsidR="00F07DD1" w:rsidRPr="000750E4">
        <w:rPr>
          <w:b/>
          <w:bCs/>
          <w:sz w:val="22"/>
          <w:szCs w:val="22"/>
        </w:rPr>
        <w:t xml:space="preserve">na základe </w:t>
      </w:r>
      <w:r w:rsidR="00006241">
        <w:rPr>
          <w:b/>
          <w:bCs/>
          <w:sz w:val="22"/>
          <w:szCs w:val="22"/>
        </w:rPr>
        <w:t>maximalizácie hodnoty za peniaze</w:t>
      </w:r>
      <w:r w:rsidR="00F85171">
        <w:rPr>
          <w:b/>
          <w:bCs/>
          <w:sz w:val="22"/>
          <w:szCs w:val="22"/>
        </w:rPr>
        <w:t xml:space="preserve"> či trvalej </w:t>
      </w:r>
      <w:r w:rsidR="00841B0E">
        <w:rPr>
          <w:b/>
          <w:bCs/>
          <w:sz w:val="22"/>
          <w:szCs w:val="22"/>
        </w:rPr>
        <w:t xml:space="preserve">udržateľnosti </w:t>
      </w:r>
      <w:r w:rsidR="00F85171" w:rsidRPr="00F85171">
        <w:rPr>
          <w:b/>
          <w:bCs/>
          <w:sz w:val="22"/>
          <w:szCs w:val="22"/>
        </w:rPr>
        <w:t>služby</w:t>
      </w:r>
      <w:r w:rsidR="00F85171">
        <w:rPr>
          <w:b/>
          <w:bCs/>
          <w:sz w:val="22"/>
          <w:szCs w:val="22"/>
        </w:rPr>
        <w:t xml:space="preserve">. </w:t>
      </w:r>
      <w:r w:rsidR="00F85171">
        <w:rPr>
          <w:b/>
          <w:bCs/>
          <w:sz w:val="22"/>
          <w:szCs w:val="22"/>
          <w:highlight w:val="yellow"/>
        </w:rPr>
        <w:t xml:space="preserve"> </w:t>
      </w:r>
      <w:r w:rsidR="00006241">
        <w:rPr>
          <w:b/>
          <w:bCs/>
          <w:sz w:val="22"/>
          <w:szCs w:val="22"/>
        </w:rPr>
        <w:t xml:space="preserve"> </w:t>
      </w:r>
      <w:r w:rsidR="00F07DD1" w:rsidRPr="000750E4">
        <w:rPr>
          <w:bCs/>
          <w:sz w:val="22"/>
          <w:szCs w:val="22"/>
        </w:rPr>
        <w:t xml:space="preserve"> </w:t>
      </w:r>
    </w:p>
    <w:p w:rsidR="00C73B28" w:rsidRPr="000750E4" w:rsidRDefault="00C73B28" w:rsidP="00CD4B2C">
      <w:pPr>
        <w:pStyle w:val="Default"/>
        <w:ind w:firstLine="708"/>
        <w:jc w:val="both"/>
        <w:rPr>
          <w:bCs/>
          <w:sz w:val="22"/>
          <w:szCs w:val="22"/>
        </w:rPr>
      </w:pPr>
    </w:p>
    <w:p w:rsidR="00601275" w:rsidRPr="00F10F97" w:rsidRDefault="00601275" w:rsidP="00601275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552BC">
        <w:rPr>
          <w:rFonts w:ascii="Times New Roman" w:hAnsi="Times New Roman" w:cs="Times New Roman"/>
        </w:rPr>
        <w:t xml:space="preserve">Návrh </w:t>
      </w:r>
      <w:r w:rsidR="00F10F97">
        <w:rPr>
          <w:rFonts w:ascii="Times New Roman" w:hAnsi="Times New Roman" w:cs="Times New Roman"/>
        </w:rPr>
        <w:t>„</w:t>
      </w:r>
      <w:r w:rsidR="00841B0E">
        <w:rPr>
          <w:rFonts w:ascii="Times New Roman" w:hAnsi="Times New Roman" w:cs="Times New Roman"/>
        </w:rPr>
        <w:t>Záverečn</w:t>
      </w:r>
      <w:r w:rsidR="004552BC">
        <w:rPr>
          <w:rFonts w:ascii="Times New Roman" w:hAnsi="Times New Roman" w:cs="Times New Roman"/>
        </w:rPr>
        <w:t xml:space="preserve">ého </w:t>
      </w:r>
      <w:r w:rsidR="00841B0E">
        <w:rPr>
          <w:rFonts w:ascii="Times New Roman" w:hAnsi="Times New Roman" w:cs="Times New Roman"/>
        </w:rPr>
        <w:t>účt</w:t>
      </w:r>
      <w:r w:rsidR="004552BC">
        <w:rPr>
          <w:rFonts w:ascii="Times New Roman" w:hAnsi="Times New Roman" w:cs="Times New Roman"/>
        </w:rPr>
        <w:t>u</w:t>
      </w:r>
      <w:r w:rsidR="00F10F97">
        <w:rPr>
          <w:rFonts w:ascii="Times New Roman" w:hAnsi="Times New Roman" w:cs="Times New Roman"/>
        </w:rPr>
        <w:t>“</w:t>
      </w:r>
      <w:r w:rsidR="00841B0E">
        <w:rPr>
          <w:rFonts w:ascii="Times New Roman" w:hAnsi="Times New Roman" w:cs="Times New Roman"/>
        </w:rPr>
        <w:t xml:space="preserve"> a ďalši</w:t>
      </w:r>
      <w:r w:rsidR="00F10F97">
        <w:rPr>
          <w:rFonts w:ascii="Times New Roman" w:hAnsi="Times New Roman" w:cs="Times New Roman"/>
        </w:rPr>
        <w:t>u</w:t>
      </w:r>
      <w:r w:rsidR="00841B0E">
        <w:rPr>
          <w:rFonts w:ascii="Times New Roman" w:hAnsi="Times New Roman" w:cs="Times New Roman"/>
        </w:rPr>
        <w:t xml:space="preserve"> </w:t>
      </w:r>
      <w:r w:rsidR="00233AF6">
        <w:rPr>
          <w:rFonts w:ascii="Times New Roman" w:hAnsi="Times New Roman" w:cs="Times New Roman"/>
        </w:rPr>
        <w:t>súvisiaca dokumentácia</w:t>
      </w:r>
      <w:r w:rsidR="00841B0E">
        <w:rPr>
          <w:rFonts w:ascii="Times New Roman" w:hAnsi="Times New Roman" w:cs="Times New Roman"/>
        </w:rPr>
        <w:t xml:space="preserve"> </w:t>
      </w:r>
      <w:r w:rsidR="00F85171">
        <w:rPr>
          <w:rFonts w:ascii="Times New Roman" w:hAnsi="Times New Roman" w:cs="Times New Roman"/>
        </w:rPr>
        <w:t xml:space="preserve">je možné nazvať aj ako </w:t>
      </w:r>
      <w:r w:rsidR="00F91DDD" w:rsidRPr="000750E4">
        <w:rPr>
          <w:rFonts w:ascii="Times New Roman" w:hAnsi="Times New Roman" w:cs="Times New Roman"/>
        </w:rPr>
        <w:t>súhrnné spracovanie údajov charakterizujúcich rozpočtové hospodárenie mesta za príslušný kalendárny rok</w:t>
      </w:r>
      <w:r w:rsidR="004552BC">
        <w:rPr>
          <w:rFonts w:ascii="Times New Roman" w:hAnsi="Times New Roman" w:cs="Times New Roman"/>
        </w:rPr>
        <w:t>. P</w:t>
      </w:r>
      <w:r w:rsidR="00F91DDD" w:rsidRPr="000750E4">
        <w:rPr>
          <w:rFonts w:ascii="Times New Roman" w:hAnsi="Times New Roman" w:cs="Times New Roman"/>
        </w:rPr>
        <w:t xml:space="preserve">ovinnosť zostavenia určuje </w:t>
      </w:r>
      <w:proofErr w:type="spellStart"/>
      <w:r w:rsidR="00F91DDD" w:rsidRPr="000750E4">
        <w:rPr>
          <w:rFonts w:ascii="Times New Roman" w:hAnsi="Times New Roman" w:cs="Times New Roman"/>
        </w:rPr>
        <w:t>ust</w:t>
      </w:r>
      <w:proofErr w:type="spellEnd"/>
      <w:r w:rsidR="004552BC">
        <w:rPr>
          <w:rFonts w:ascii="Times New Roman" w:hAnsi="Times New Roman" w:cs="Times New Roman"/>
        </w:rPr>
        <w:t>.</w:t>
      </w:r>
      <w:r w:rsidR="00F91DDD" w:rsidRPr="000750E4">
        <w:rPr>
          <w:rFonts w:ascii="Times New Roman" w:hAnsi="Times New Roman" w:cs="Times New Roman"/>
        </w:rPr>
        <w:t xml:space="preserve"> § 16 zákona NR SR č. 583/2004 Z.z. o rozpočtových pravidlách územnej samosprávy a o zmene a doplnení niektorých zákonov</w:t>
      </w:r>
      <w:r w:rsidR="00AD16CE" w:rsidRPr="000750E4">
        <w:rPr>
          <w:rFonts w:ascii="Times New Roman" w:hAnsi="Times New Roman" w:cs="Times New Roman"/>
        </w:rPr>
        <w:t xml:space="preserve"> v znení neskorších predpisov. </w:t>
      </w:r>
    </w:p>
    <w:p w:rsidR="00AD16CE" w:rsidRPr="000750E4" w:rsidRDefault="00AD16CE" w:rsidP="00AD16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438F" w:rsidRPr="000750E4" w:rsidRDefault="00F10F97" w:rsidP="00DF5294">
      <w:pPr>
        <w:pStyle w:val="Default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 w:rsidR="00AD16CE" w:rsidRPr="000750E4">
        <w:rPr>
          <w:bCs/>
          <w:sz w:val="22"/>
          <w:szCs w:val="22"/>
        </w:rPr>
        <w:t>Z</w:t>
      </w:r>
      <w:r w:rsidR="009078D9" w:rsidRPr="000750E4">
        <w:rPr>
          <w:bCs/>
          <w:sz w:val="22"/>
          <w:szCs w:val="22"/>
        </w:rPr>
        <w:t>áverečný účet</w:t>
      </w:r>
      <w:r>
        <w:rPr>
          <w:bCs/>
          <w:sz w:val="22"/>
          <w:szCs w:val="22"/>
        </w:rPr>
        <w:t>“</w:t>
      </w:r>
      <w:r w:rsidR="00AD16CE" w:rsidRPr="000750E4">
        <w:rPr>
          <w:bCs/>
          <w:sz w:val="22"/>
          <w:szCs w:val="22"/>
        </w:rPr>
        <w:t xml:space="preserve"> spolu s</w:t>
      </w:r>
      <w:r w:rsidR="001E197B" w:rsidRPr="000750E4">
        <w:rPr>
          <w:bCs/>
          <w:sz w:val="22"/>
          <w:szCs w:val="22"/>
        </w:rPr>
        <w:t xml:space="preserve"> prílohami </w:t>
      </w:r>
      <w:r w:rsidR="0050438F" w:rsidRPr="000750E4">
        <w:rPr>
          <w:bCs/>
          <w:sz w:val="22"/>
          <w:szCs w:val="22"/>
        </w:rPr>
        <w:t xml:space="preserve">za </w:t>
      </w:r>
      <w:r w:rsidR="0050438F" w:rsidRPr="000750E4">
        <w:rPr>
          <w:b/>
          <w:bCs/>
          <w:sz w:val="22"/>
          <w:szCs w:val="22"/>
        </w:rPr>
        <w:t>účt</w:t>
      </w:r>
      <w:r w:rsidR="00B6297B" w:rsidRPr="000750E4">
        <w:rPr>
          <w:b/>
          <w:bCs/>
          <w:sz w:val="22"/>
          <w:szCs w:val="22"/>
        </w:rPr>
        <w:t>ovné obdobie od 01.01.201</w:t>
      </w:r>
      <w:r w:rsidR="008D12AB">
        <w:rPr>
          <w:b/>
          <w:bCs/>
          <w:sz w:val="22"/>
          <w:szCs w:val="22"/>
        </w:rPr>
        <w:t>9</w:t>
      </w:r>
      <w:r w:rsidR="00B6297B" w:rsidRPr="000750E4">
        <w:rPr>
          <w:b/>
          <w:bCs/>
          <w:sz w:val="22"/>
          <w:szCs w:val="22"/>
        </w:rPr>
        <w:t xml:space="preserve"> do 31.12</w:t>
      </w:r>
      <w:r w:rsidR="0050438F" w:rsidRPr="000750E4">
        <w:rPr>
          <w:b/>
          <w:bCs/>
          <w:sz w:val="22"/>
          <w:szCs w:val="22"/>
        </w:rPr>
        <w:t>.201</w:t>
      </w:r>
      <w:r w:rsidR="008D12AB">
        <w:rPr>
          <w:b/>
          <w:bCs/>
          <w:sz w:val="22"/>
          <w:szCs w:val="22"/>
        </w:rPr>
        <w:t>9</w:t>
      </w:r>
      <w:r w:rsidR="0050438F" w:rsidRPr="000750E4">
        <w:rPr>
          <w:b/>
          <w:bCs/>
          <w:sz w:val="22"/>
          <w:szCs w:val="22"/>
        </w:rPr>
        <w:t xml:space="preserve"> je štruktúrovanou správou o finančnom plnení rozpočtu Mesta Stará Ľubovňa a príspevkovej organizácie VPS</w:t>
      </w:r>
      <w:r w:rsidR="0050438F" w:rsidRPr="000750E4">
        <w:rPr>
          <w:bCs/>
          <w:sz w:val="22"/>
          <w:szCs w:val="22"/>
        </w:rPr>
        <w:t xml:space="preserve">, predložený na rokovanie komisie dňa </w:t>
      </w:r>
      <w:r w:rsidR="008D12AB">
        <w:rPr>
          <w:bCs/>
          <w:sz w:val="22"/>
          <w:szCs w:val="22"/>
        </w:rPr>
        <w:t>30</w:t>
      </w:r>
      <w:r w:rsidR="001E197B" w:rsidRPr="000750E4">
        <w:rPr>
          <w:bCs/>
          <w:sz w:val="22"/>
          <w:szCs w:val="22"/>
        </w:rPr>
        <w:t>.03.20</w:t>
      </w:r>
      <w:r w:rsidR="009E1B9C">
        <w:rPr>
          <w:bCs/>
          <w:sz w:val="22"/>
          <w:szCs w:val="22"/>
        </w:rPr>
        <w:t>20</w:t>
      </w:r>
      <w:r w:rsidR="001E197B" w:rsidRPr="000750E4">
        <w:rPr>
          <w:bCs/>
          <w:sz w:val="22"/>
          <w:szCs w:val="22"/>
        </w:rPr>
        <w:t xml:space="preserve"> a </w:t>
      </w:r>
      <w:r w:rsidR="008D12AB">
        <w:rPr>
          <w:bCs/>
          <w:sz w:val="22"/>
          <w:szCs w:val="22"/>
        </w:rPr>
        <w:t>31</w:t>
      </w:r>
      <w:r w:rsidR="001E197B" w:rsidRPr="000750E4">
        <w:rPr>
          <w:bCs/>
          <w:sz w:val="22"/>
          <w:szCs w:val="22"/>
        </w:rPr>
        <w:t>.03.20</w:t>
      </w:r>
      <w:r w:rsidR="009E1B9C">
        <w:rPr>
          <w:bCs/>
          <w:sz w:val="22"/>
          <w:szCs w:val="22"/>
        </w:rPr>
        <w:t>20</w:t>
      </w:r>
      <w:r w:rsidR="001E197B" w:rsidRPr="000750E4">
        <w:rPr>
          <w:bCs/>
          <w:sz w:val="22"/>
          <w:szCs w:val="22"/>
        </w:rPr>
        <w:t xml:space="preserve">, </w:t>
      </w:r>
      <w:r w:rsidR="0050438F" w:rsidRPr="000750E4">
        <w:rPr>
          <w:bCs/>
          <w:sz w:val="22"/>
          <w:szCs w:val="22"/>
        </w:rPr>
        <w:t xml:space="preserve">predkladaný na rokovanie mestského zastupiteľstva </w:t>
      </w:r>
      <w:r w:rsidR="0050438F" w:rsidRPr="00C53A58">
        <w:rPr>
          <w:bCs/>
          <w:sz w:val="22"/>
          <w:szCs w:val="22"/>
        </w:rPr>
        <w:t xml:space="preserve">dňa </w:t>
      </w:r>
      <w:r w:rsidR="00C53A58" w:rsidRPr="00C53A58">
        <w:rPr>
          <w:bCs/>
          <w:sz w:val="22"/>
          <w:szCs w:val="22"/>
        </w:rPr>
        <w:t>30</w:t>
      </w:r>
      <w:r w:rsidR="009E1944" w:rsidRPr="00C53A58">
        <w:rPr>
          <w:bCs/>
          <w:sz w:val="22"/>
          <w:szCs w:val="22"/>
        </w:rPr>
        <w:t>.4.20</w:t>
      </w:r>
      <w:r w:rsidR="009E1B9C" w:rsidRPr="00C53A58">
        <w:rPr>
          <w:bCs/>
          <w:sz w:val="22"/>
          <w:szCs w:val="22"/>
        </w:rPr>
        <w:t>20</w:t>
      </w:r>
      <w:r w:rsidR="0050438F" w:rsidRPr="000750E4">
        <w:rPr>
          <w:bCs/>
          <w:sz w:val="22"/>
          <w:szCs w:val="22"/>
        </w:rPr>
        <w:t xml:space="preserve"> ako </w:t>
      </w:r>
      <w:r w:rsidR="00B6297B" w:rsidRPr="000750E4">
        <w:rPr>
          <w:b/>
          <w:bCs/>
          <w:sz w:val="22"/>
          <w:szCs w:val="22"/>
        </w:rPr>
        <w:t xml:space="preserve">súhrnná </w:t>
      </w:r>
      <w:r w:rsidR="0050438F" w:rsidRPr="000750E4">
        <w:rPr>
          <w:b/>
          <w:bCs/>
          <w:sz w:val="22"/>
          <w:szCs w:val="22"/>
        </w:rPr>
        <w:t>informácia o skutočnom, účtovnom stave rozpočtu,</w:t>
      </w:r>
      <w:r w:rsidR="0050438F" w:rsidRPr="000750E4">
        <w:rPr>
          <w:bCs/>
          <w:sz w:val="22"/>
          <w:szCs w:val="22"/>
        </w:rPr>
        <w:t xml:space="preserve"> </w:t>
      </w:r>
      <w:r w:rsidR="0050438F" w:rsidRPr="000750E4">
        <w:rPr>
          <w:b/>
          <w:bCs/>
          <w:sz w:val="22"/>
          <w:szCs w:val="22"/>
        </w:rPr>
        <w:t xml:space="preserve">nakladaní a dodržiavaní základných princípov </w:t>
      </w:r>
      <w:r w:rsidR="00630343" w:rsidRPr="000750E4">
        <w:rPr>
          <w:b/>
          <w:bCs/>
          <w:sz w:val="22"/>
          <w:szCs w:val="22"/>
        </w:rPr>
        <w:t>korektného účtovníctva</w:t>
      </w:r>
      <w:r w:rsidR="00D149DC" w:rsidRPr="000750E4">
        <w:rPr>
          <w:b/>
          <w:bCs/>
          <w:sz w:val="22"/>
          <w:szCs w:val="22"/>
        </w:rPr>
        <w:t>,</w:t>
      </w:r>
      <w:r w:rsidR="00630343" w:rsidRPr="000750E4">
        <w:rPr>
          <w:b/>
          <w:bCs/>
          <w:sz w:val="22"/>
          <w:szCs w:val="22"/>
        </w:rPr>
        <w:t xml:space="preserve"> všeobecného súladu a nakladania s </w:t>
      </w:r>
      <w:r w:rsidR="0050438F" w:rsidRPr="000750E4">
        <w:rPr>
          <w:b/>
          <w:bCs/>
          <w:sz w:val="22"/>
          <w:szCs w:val="22"/>
        </w:rPr>
        <w:t>finančnými prostriedkami Mesta Stará Ľubovňa</w:t>
      </w:r>
      <w:r w:rsidR="0050438F" w:rsidRPr="000750E4">
        <w:rPr>
          <w:bCs/>
          <w:sz w:val="22"/>
          <w:szCs w:val="22"/>
        </w:rPr>
        <w:t>.</w:t>
      </w:r>
    </w:p>
    <w:p w:rsidR="0050438F" w:rsidRPr="000750E4" w:rsidRDefault="0050438F" w:rsidP="00DF5294">
      <w:pPr>
        <w:pStyle w:val="Default"/>
        <w:ind w:firstLine="708"/>
        <w:jc w:val="both"/>
        <w:rPr>
          <w:iCs/>
          <w:sz w:val="22"/>
          <w:szCs w:val="22"/>
        </w:rPr>
      </w:pPr>
    </w:p>
    <w:p w:rsidR="00233AF6" w:rsidRPr="00A80B5E" w:rsidRDefault="004109AB" w:rsidP="00DF5294">
      <w:pPr>
        <w:pStyle w:val="Default"/>
        <w:ind w:firstLine="708"/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iCs/>
          <w:sz w:val="22"/>
          <w:szCs w:val="22"/>
        </w:rPr>
        <w:t xml:space="preserve">Hodnotený </w:t>
      </w:r>
      <w:r w:rsidR="0050438F" w:rsidRPr="000750E4">
        <w:rPr>
          <w:iCs/>
          <w:sz w:val="22"/>
          <w:szCs w:val="22"/>
        </w:rPr>
        <w:t xml:space="preserve">dokument obsahuje </w:t>
      </w:r>
      <w:r w:rsidR="0050438F" w:rsidRPr="000750E4">
        <w:rPr>
          <w:b/>
          <w:iCs/>
          <w:sz w:val="22"/>
          <w:szCs w:val="22"/>
        </w:rPr>
        <w:t>štruktúrovaný prehľad plnenia rozpočtovaných príjmov a čerpania výdavkov v analytickom členení</w:t>
      </w:r>
      <w:r w:rsidR="0050438F" w:rsidRPr="000750E4">
        <w:rPr>
          <w:iCs/>
          <w:sz w:val="22"/>
          <w:szCs w:val="22"/>
        </w:rPr>
        <w:t xml:space="preserve"> </w:t>
      </w:r>
      <w:r w:rsidR="0050438F" w:rsidRPr="000750E4">
        <w:rPr>
          <w:b/>
          <w:iCs/>
          <w:sz w:val="22"/>
          <w:szCs w:val="22"/>
        </w:rPr>
        <w:t>na položky schválené v rozpočte na rok 201</w:t>
      </w:r>
      <w:r w:rsidR="008D12AB">
        <w:rPr>
          <w:b/>
          <w:iCs/>
          <w:sz w:val="22"/>
          <w:szCs w:val="22"/>
        </w:rPr>
        <w:t>9</w:t>
      </w:r>
      <w:r w:rsidR="0050438F" w:rsidRPr="000750E4">
        <w:rPr>
          <w:b/>
          <w:iCs/>
          <w:sz w:val="22"/>
          <w:szCs w:val="22"/>
        </w:rPr>
        <w:t xml:space="preserve"> a skutočné, účtovn</w:t>
      </w:r>
      <w:r w:rsidR="00B6297B" w:rsidRPr="000750E4">
        <w:rPr>
          <w:b/>
          <w:iCs/>
          <w:sz w:val="22"/>
          <w:szCs w:val="22"/>
        </w:rPr>
        <w:t xml:space="preserve">é plnenie položky so stavom </w:t>
      </w:r>
      <w:r w:rsidR="00B55B24" w:rsidRPr="000750E4">
        <w:rPr>
          <w:b/>
          <w:iCs/>
          <w:sz w:val="22"/>
          <w:szCs w:val="22"/>
        </w:rPr>
        <w:t xml:space="preserve">plnenia </w:t>
      </w:r>
      <w:r w:rsidR="00B6297B" w:rsidRPr="000750E4">
        <w:rPr>
          <w:b/>
          <w:iCs/>
          <w:sz w:val="22"/>
          <w:szCs w:val="22"/>
        </w:rPr>
        <w:t>k 31</w:t>
      </w:r>
      <w:r w:rsidR="0050438F" w:rsidRPr="000750E4">
        <w:rPr>
          <w:b/>
          <w:iCs/>
          <w:sz w:val="22"/>
          <w:szCs w:val="22"/>
        </w:rPr>
        <w:t>.</w:t>
      </w:r>
      <w:r w:rsidR="00B6297B" w:rsidRPr="000750E4">
        <w:rPr>
          <w:b/>
          <w:iCs/>
          <w:sz w:val="22"/>
          <w:szCs w:val="22"/>
        </w:rPr>
        <w:t>12</w:t>
      </w:r>
      <w:r w:rsidR="00F91DDD" w:rsidRPr="000750E4">
        <w:rPr>
          <w:b/>
          <w:iCs/>
          <w:sz w:val="22"/>
          <w:szCs w:val="22"/>
        </w:rPr>
        <w:t>.201</w:t>
      </w:r>
      <w:r w:rsidR="008D12AB">
        <w:rPr>
          <w:b/>
          <w:iCs/>
          <w:sz w:val="22"/>
          <w:szCs w:val="22"/>
        </w:rPr>
        <w:t>9</w:t>
      </w:r>
      <w:r w:rsidR="0050438F" w:rsidRPr="000750E4">
        <w:rPr>
          <w:b/>
          <w:iCs/>
          <w:sz w:val="22"/>
          <w:szCs w:val="22"/>
        </w:rPr>
        <w:t xml:space="preserve"> v porovnaní so stavom plnenia k 3</w:t>
      </w:r>
      <w:r w:rsidR="00B6297B" w:rsidRPr="000750E4">
        <w:rPr>
          <w:b/>
          <w:iCs/>
          <w:sz w:val="22"/>
          <w:szCs w:val="22"/>
        </w:rPr>
        <w:t>1</w:t>
      </w:r>
      <w:r w:rsidR="0050438F" w:rsidRPr="000750E4">
        <w:rPr>
          <w:b/>
          <w:iCs/>
          <w:sz w:val="22"/>
          <w:szCs w:val="22"/>
        </w:rPr>
        <w:t>.</w:t>
      </w:r>
      <w:r w:rsidR="00B6297B" w:rsidRPr="000750E4">
        <w:rPr>
          <w:b/>
          <w:iCs/>
          <w:sz w:val="22"/>
          <w:szCs w:val="22"/>
        </w:rPr>
        <w:t>12</w:t>
      </w:r>
      <w:r w:rsidR="0050438F" w:rsidRPr="000750E4">
        <w:rPr>
          <w:b/>
          <w:iCs/>
          <w:sz w:val="22"/>
          <w:szCs w:val="22"/>
        </w:rPr>
        <w:t>.201</w:t>
      </w:r>
      <w:r w:rsidR="008D12AB">
        <w:rPr>
          <w:b/>
          <w:iCs/>
          <w:sz w:val="22"/>
          <w:szCs w:val="22"/>
        </w:rPr>
        <w:t>8</w:t>
      </w:r>
      <w:r w:rsidR="001E197B" w:rsidRPr="000750E4">
        <w:rPr>
          <w:b/>
          <w:iCs/>
          <w:sz w:val="22"/>
          <w:szCs w:val="22"/>
        </w:rPr>
        <w:t xml:space="preserve">. </w:t>
      </w:r>
      <w:r w:rsidR="00DD79E1" w:rsidRPr="000750E4">
        <w:rPr>
          <w:b/>
          <w:iCs/>
          <w:sz w:val="22"/>
          <w:szCs w:val="22"/>
        </w:rPr>
        <w:t>Jednotlivé v</w:t>
      </w:r>
      <w:r w:rsidR="0050438F" w:rsidRPr="000750E4">
        <w:rPr>
          <w:rFonts w:eastAsia="Times New Roman"/>
          <w:b/>
          <w:sz w:val="22"/>
          <w:szCs w:val="22"/>
          <w:lang w:eastAsia="sk-SK"/>
        </w:rPr>
        <w:t>ýdavky rozpočtu mesta boli rozdelené do príslušných programov</w:t>
      </w:r>
      <w:r w:rsidR="0050438F" w:rsidRPr="000750E4">
        <w:rPr>
          <w:rFonts w:eastAsia="Times New Roman"/>
          <w:sz w:val="22"/>
          <w:szCs w:val="22"/>
          <w:lang w:eastAsia="sk-SK"/>
        </w:rPr>
        <w:t>. Každý program, ktorý predstavuje súhrn aktivít (prác, činností a dodávok) má definovaný svoj zámer a cieľ,</w:t>
      </w:r>
      <w:r w:rsidR="00D575CA">
        <w:rPr>
          <w:rFonts w:eastAsia="Times New Roman"/>
          <w:sz w:val="22"/>
          <w:szCs w:val="22"/>
          <w:lang w:eastAsia="sk-SK"/>
        </w:rPr>
        <w:t xml:space="preserve"> ukazovateľ a hodnotu plnenia. </w:t>
      </w:r>
      <w:r w:rsidR="00233AF6">
        <w:rPr>
          <w:rFonts w:eastAsia="Times New Roman"/>
          <w:sz w:val="22"/>
          <w:szCs w:val="22"/>
          <w:lang w:eastAsia="sk-SK"/>
        </w:rPr>
        <w:t xml:space="preserve">Programová štruktúra schvaľovaného rozpočtu obsahuje zámery, ciele a merateľné ukazovatele, ktoré sú dôležité z hľadiska ich prepojenia na rozhodovanie, strategické koncepcie kapitol, ako aj pre riadenie výkonov s dôrazom na ich vzájomnú podmienenosť. </w:t>
      </w:r>
      <w:r w:rsidR="006A7944" w:rsidRPr="00A80B5E">
        <w:rPr>
          <w:rFonts w:eastAsia="Times New Roman"/>
          <w:b/>
          <w:sz w:val="22"/>
          <w:szCs w:val="22"/>
          <w:lang w:eastAsia="sk-SK"/>
        </w:rPr>
        <w:t xml:space="preserve">Zámery sú formou na vyjadrenie dôsledkov, ciele sú formou na vyjadrenie výsledkov a výstupov. </w:t>
      </w:r>
    </w:p>
    <w:p w:rsidR="0050438F" w:rsidRPr="00233AF6" w:rsidRDefault="00745BEC" w:rsidP="00233AF6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  <w:r>
        <w:rPr>
          <w:rFonts w:eastAsia="Times New Roman"/>
          <w:sz w:val="22"/>
          <w:szCs w:val="22"/>
          <w:lang w:eastAsia="sk-SK"/>
        </w:rPr>
        <w:tab/>
      </w:r>
      <w:r w:rsidR="0050438F" w:rsidRPr="000750E4">
        <w:rPr>
          <w:rFonts w:eastAsia="Times New Roman"/>
          <w:sz w:val="22"/>
          <w:szCs w:val="22"/>
          <w:lang w:eastAsia="sk-SK"/>
        </w:rPr>
        <w:t xml:space="preserve">Dodržiavanie rozpočtového hospodárenia, plnenie resp. neplnenie jednotlivých položiek programu sú </w:t>
      </w:r>
      <w:r w:rsidR="001E197B" w:rsidRPr="000750E4">
        <w:rPr>
          <w:rFonts w:eastAsia="Times New Roman"/>
          <w:b/>
          <w:sz w:val="22"/>
          <w:szCs w:val="22"/>
          <w:lang w:eastAsia="sk-SK"/>
        </w:rPr>
        <w:t xml:space="preserve">zrozumiteľne </w:t>
      </w:r>
      <w:r w:rsidR="0050438F" w:rsidRPr="000750E4">
        <w:rPr>
          <w:rFonts w:eastAsia="Times New Roman"/>
          <w:b/>
          <w:sz w:val="22"/>
          <w:szCs w:val="22"/>
          <w:lang w:eastAsia="sk-SK"/>
        </w:rPr>
        <w:t>opísané v rámci textovej časti zdôvodnenia programov a položiek.</w:t>
      </w:r>
      <w:r w:rsidR="0050438F" w:rsidRPr="000750E4">
        <w:rPr>
          <w:rFonts w:eastAsia="Times New Roman"/>
          <w:sz w:val="22"/>
          <w:szCs w:val="22"/>
          <w:lang w:eastAsia="sk-SK"/>
        </w:rPr>
        <w:t xml:space="preserve"> </w:t>
      </w:r>
    </w:p>
    <w:p w:rsidR="00930546" w:rsidRPr="000750E4" w:rsidRDefault="00745BEC" w:rsidP="001E197B">
      <w:pPr>
        <w:pStyle w:val="Default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 w:rsidR="0050438F" w:rsidRPr="000750E4">
        <w:rPr>
          <w:iCs/>
          <w:sz w:val="22"/>
          <w:szCs w:val="22"/>
        </w:rPr>
        <w:t xml:space="preserve">Štruktúrovaný prehľad príjmov a výdavkov je </w:t>
      </w:r>
      <w:r w:rsidR="0050438F" w:rsidRPr="000750E4">
        <w:rPr>
          <w:b/>
          <w:iCs/>
          <w:sz w:val="22"/>
          <w:szCs w:val="22"/>
        </w:rPr>
        <w:t>uvedený v tabuľkovej podobe, doplnený o textovú časť zhodnotenia dosiahnutého stavu, príp. číselných a štatistických hodnôt so zdôvodnením vykazovaných rozdielov v klesajúcich alebo narastajúcich trendoch položiek</w:t>
      </w:r>
      <w:r w:rsidR="001E197B" w:rsidRPr="000750E4">
        <w:rPr>
          <w:iCs/>
          <w:sz w:val="22"/>
          <w:szCs w:val="22"/>
        </w:rPr>
        <w:t xml:space="preserve">. </w:t>
      </w:r>
      <w:r w:rsidR="00A80B5E">
        <w:rPr>
          <w:iCs/>
          <w:sz w:val="22"/>
          <w:szCs w:val="22"/>
        </w:rPr>
        <w:t>Obsahová š</w:t>
      </w:r>
      <w:r w:rsidR="001E197B" w:rsidRPr="000750E4">
        <w:rPr>
          <w:rFonts w:eastAsia="Times New Roman"/>
          <w:sz w:val="22"/>
          <w:szCs w:val="22"/>
          <w:lang w:eastAsia="sk-SK"/>
        </w:rPr>
        <w:t xml:space="preserve">truktúra Záverečného účtu je </w:t>
      </w:r>
      <w:r w:rsidR="00930546" w:rsidRPr="000750E4">
        <w:rPr>
          <w:rFonts w:eastAsia="Times New Roman"/>
          <w:sz w:val="22"/>
          <w:szCs w:val="22"/>
          <w:lang w:eastAsia="sk-SK"/>
        </w:rPr>
        <w:t>uveden</w:t>
      </w:r>
      <w:r w:rsidR="001E197B" w:rsidRPr="000750E4">
        <w:rPr>
          <w:rFonts w:eastAsia="Times New Roman"/>
          <w:sz w:val="22"/>
          <w:szCs w:val="22"/>
          <w:lang w:eastAsia="sk-SK"/>
        </w:rPr>
        <w:t>á</w:t>
      </w:r>
      <w:r w:rsidR="00930546" w:rsidRPr="000750E4">
        <w:rPr>
          <w:rFonts w:eastAsia="Times New Roman"/>
          <w:sz w:val="22"/>
          <w:szCs w:val="22"/>
          <w:lang w:eastAsia="sk-SK"/>
        </w:rPr>
        <w:t xml:space="preserve"> na strane č. 2</w:t>
      </w:r>
      <w:r w:rsidR="00622793" w:rsidRPr="000750E4">
        <w:rPr>
          <w:rFonts w:eastAsia="Times New Roman"/>
          <w:sz w:val="22"/>
          <w:szCs w:val="22"/>
          <w:lang w:eastAsia="sk-SK"/>
        </w:rPr>
        <w:t xml:space="preserve"> dokumentu. </w:t>
      </w:r>
    </w:p>
    <w:p w:rsidR="00662D26" w:rsidRDefault="00662D26" w:rsidP="00DF5294">
      <w:pPr>
        <w:pStyle w:val="Default"/>
        <w:jc w:val="both"/>
        <w:rPr>
          <w:iCs/>
          <w:sz w:val="22"/>
          <w:szCs w:val="22"/>
        </w:rPr>
      </w:pPr>
    </w:p>
    <w:p w:rsidR="00601275" w:rsidRPr="000750E4" w:rsidRDefault="00601275" w:rsidP="00DF5294">
      <w:pPr>
        <w:pStyle w:val="Default"/>
        <w:jc w:val="both"/>
        <w:rPr>
          <w:iCs/>
          <w:sz w:val="22"/>
          <w:szCs w:val="22"/>
        </w:rPr>
      </w:pPr>
    </w:p>
    <w:p w:rsidR="001936DA" w:rsidRDefault="00E24A8E" w:rsidP="00E24A8E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 xml:space="preserve">I. </w:t>
      </w:r>
      <w:r w:rsidR="001936DA" w:rsidRPr="001936DA">
        <w:rPr>
          <w:b/>
          <w:iCs/>
          <w:smallCaps/>
          <w:sz w:val="26"/>
          <w:szCs w:val="26"/>
        </w:rPr>
        <w:t xml:space="preserve">Východiská spracovania stanoviska k záverečnému účtu mesta Stará Ľubovňa </w:t>
      </w:r>
    </w:p>
    <w:p w:rsidR="0041560A" w:rsidRPr="00EA0FFF" w:rsidRDefault="0041560A" w:rsidP="00DF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197B" w:rsidRPr="000750E4" w:rsidRDefault="001E197B" w:rsidP="00F91D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ab/>
      </w:r>
      <w:r w:rsidRPr="000750E4">
        <w:rPr>
          <w:rFonts w:ascii="Times New Roman" w:hAnsi="Times New Roman" w:cs="Times New Roman"/>
        </w:rPr>
        <w:t xml:space="preserve">Návrh </w:t>
      </w:r>
      <w:r w:rsidR="00F10F97">
        <w:rPr>
          <w:rFonts w:ascii="Times New Roman" w:hAnsi="Times New Roman" w:cs="Times New Roman"/>
        </w:rPr>
        <w:t>„</w:t>
      </w:r>
      <w:r w:rsidRPr="000750E4">
        <w:rPr>
          <w:rFonts w:ascii="Times New Roman" w:hAnsi="Times New Roman" w:cs="Times New Roman"/>
        </w:rPr>
        <w:t>Záverečného účtu</w:t>
      </w:r>
      <w:r w:rsidR="00F10F97">
        <w:rPr>
          <w:rFonts w:ascii="Times New Roman" w:hAnsi="Times New Roman" w:cs="Times New Roman"/>
        </w:rPr>
        <w:t>“</w:t>
      </w:r>
      <w:r w:rsidRPr="000750E4">
        <w:rPr>
          <w:rFonts w:ascii="Times New Roman" w:hAnsi="Times New Roman" w:cs="Times New Roman"/>
        </w:rPr>
        <w:t xml:space="preserve"> je predložený na rokovanie mestského zastupiteľstva v zákonom stanovenej lehote, </w:t>
      </w:r>
      <w:proofErr w:type="spellStart"/>
      <w:r w:rsidRPr="000750E4">
        <w:rPr>
          <w:rFonts w:ascii="Times New Roman" w:hAnsi="Times New Roman" w:cs="Times New Roman"/>
        </w:rPr>
        <w:t>t.j</w:t>
      </w:r>
      <w:proofErr w:type="spellEnd"/>
      <w:r w:rsidRPr="000750E4">
        <w:rPr>
          <w:rFonts w:ascii="Times New Roman" w:hAnsi="Times New Roman" w:cs="Times New Roman"/>
        </w:rPr>
        <w:t xml:space="preserve">. do </w:t>
      </w:r>
      <w:r w:rsidR="007649B5">
        <w:rPr>
          <w:rFonts w:ascii="Times New Roman" w:hAnsi="Times New Roman" w:cs="Times New Roman"/>
        </w:rPr>
        <w:t>šiestich mesiacov po uplynutí rozpočtov</w:t>
      </w:r>
      <w:r w:rsidRPr="000750E4">
        <w:rPr>
          <w:rFonts w:ascii="Times New Roman" w:hAnsi="Times New Roman" w:cs="Times New Roman"/>
        </w:rPr>
        <w:t xml:space="preserve">ého roka. </w:t>
      </w:r>
    </w:p>
    <w:p w:rsidR="001E197B" w:rsidRPr="000750E4" w:rsidRDefault="001E197B" w:rsidP="00F91D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4D19" w:rsidRDefault="00651B12" w:rsidP="00F91DD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750E4">
        <w:rPr>
          <w:rFonts w:ascii="Times New Roman" w:hAnsi="Times New Roman" w:cs="Times New Roman"/>
        </w:rPr>
        <w:tab/>
      </w:r>
      <w:r w:rsidR="00A74D19" w:rsidRPr="000750E4">
        <w:rPr>
          <w:rFonts w:ascii="Times New Roman" w:hAnsi="Times New Roman" w:cs="Times New Roman"/>
        </w:rPr>
        <w:t>Právnická osoba, Mesto Stará Ľubovňa</w:t>
      </w:r>
      <w:r w:rsidR="00A80B5E">
        <w:rPr>
          <w:rFonts w:ascii="Times New Roman" w:hAnsi="Times New Roman" w:cs="Times New Roman"/>
        </w:rPr>
        <w:t xml:space="preserve"> (ďalej len „M</w:t>
      </w:r>
      <w:r w:rsidR="0025679E" w:rsidRPr="000750E4">
        <w:rPr>
          <w:rFonts w:ascii="Times New Roman" w:hAnsi="Times New Roman" w:cs="Times New Roman"/>
        </w:rPr>
        <w:t>esto“)</w:t>
      </w:r>
      <w:r w:rsidR="00A74D19" w:rsidRPr="000750E4">
        <w:rPr>
          <w:rFonts w:ascii="Times New Roman" w:hAnsi="Times New Roman" w:cs="Times New Roman"/>
        </w:rPr>
        <w:t>,</w:t>
      </w:r>
      <w:r w:rsidR="00F85171">
        <w:rPr>
          <w:rFonts w:ascii="Times New Roman" w:hAnsi="Times New Roman" w:cs="Times New Roman"/>
        </w:rPr>
        <w:t xml:space="preserve"> </w:t>
      </w:r>
      <w:r w:rsidR="00A74D19" w:rsidRPr="000750E4">
        <w:rPr>
          <w:rFonts w:ascii="Times New Roman" w:hAnsi="Times New Roman" w:cs="Times New Roman"/>
        </w:rPr>
        <w:t xml:space="preserve">zriadená zákonom č. 369/1990 Zb. o obecnom zriadení v znení neskorších zmien, </w:t>
      </w:r>
      <w:r w:rsidR="000C316C" w:rsidRPr="000750E4">
        <w:rPr>
          <w:rFonts w:ascii="Times New Roman" w:hAnsi="Times New Roman" w:cs="Times New Roman"/>
        </w:rPr>
        <w:t>postupovala</w:t>
      </w:r>
      <w:r w:rsidR="00F91DDD" w:rsidRPr="000750E4">
        <w:rPr>
          <w:rFonts w:ascii="Times New Roman" w:hAnsi="Times New Roman" w:cs="Times New Roman"/>
        </w:rPr>
        <w:t xml:space="preserve"> podľa </w:t>
      </w:r>
      <w:proofErr w:type="spellStart"/>
      <w:r w:rsidR="007649B5">
        <w:rPr>
          <w:rFonts w:ascii="Times New Roman" w:hAnsi="Times New Roman" w:cs="Times New Roman"/>
        </w:rPr>
        <w:t>ust</w:t>
      </w:r>
      <w:proofErr w:type="spellEnd"/>
      <w:r w:rsidR="007649B5">
        <w:rPr>
          <w:rFonts w:ascii="Times New Roman" w:hAnsi="Times New Roman" w:cs="Times New Roman"/>
        </w:rPr>
        <w:t xml:space="preserve">. </w:t>
      </w:r>
      <w:r w:rsidR="00F91DDD" w:rsidRPr="000750E4">
        <w:rPr>
          <w:rFonts w:ascii="Times New Roman" w:hAnsi="Times New Roman" w:cs="Times New Roman"/>
        </w:rPr>
        <w:t>§ 16 ods. 1 zákona o rozpočtových pravidlách územnej samosprávy a po skončení rozpočtového roka</w:t>
      </w:r>
      <w:r w:rsidR="000C316C" w:rsidRPr="000750E4">
        <w:rPr>
          <w:rFonts w:ascii="Times New Roman" w:hAnsi="Times New Roman" w:cs="Times New Roman"/>
        </w:rPr>
        <w:t xml:space="preserve">, </w:t>
      </w:r>
      <w:r w:rsidR="00F91DDD" w:rsidRPr="000750E4">
        <w:rPr>
          <w:rFonts w:ascii="Times New Roman" w:hAnsi="Times New Roman" w:cs="Times New Roman"/>
        </w:rPr>
        <w:t>údaje o rozpočtovom hospod</w:t>
      </w:r>
      <w:r w:rsidR="000C316C" w:rsidRPr="000750E4">
        <w:rPr>
          <w:rFonts w:ascii="Times New Roman" w:hAnsi="Times New Roman" w:cs="Times New Roman"/>
        </w:rPr>
        <w:t xml:space="preserve">árení, </w:t>
      </w:r>
      <w:r w:rsidR="00F91DDD" w:rsidRPr="000750E4">
        <w:rPr>
          <w:rFonts w:ascii="Times New Roman" w:hAnsi="Times New Roman" w:cs="Times New Roman"/>
        </w:rPr>
        <w:t>súhrnne spracoval</w:t>
      </w:r>
      <w:r w:rsidR="000C316C" w:rsidRPr="000750E4">
        <w:rPr>
          <w:rFonts w:ascii="Times New Roman" w:hAnsi="Times New Roman" w:cs="Times New Roman"/>
        </w:rPr>
        <w:t>a</w:t>
      </w:r>
      <w:r w:rsidR="00F91DDD" w:rsidRPr="000750E4">
        <w:rPr>
          <w:rFonts w:ascii="Times New Roman" w:hAnsi="Times New Roman" w:cs="Times New Roman"/>
        </w:rPr>
        <w:t xml:space="preserve"> do záverečného účtu mesta. Predložený návrh </w:t>
      </w:r>
      <w:r w:rsidR="00F10F97">
        <w:rPr>
          <w:rFonts w:ascii="Times New Roman" w:hAnsi="Times New Roman" w:cs="Times New Roman"/>
        </w:rPr>
        <w:t>„</w:t>
      </w:r>
      <w:r w:rsidR="001E197B" w:rsidRPr="000750E4">
        <w:rPr>
          <w:rFonts w:ascii="Times New Roman" w:hAnsi="Times New Roman" w:cs="Times New Roman"/>
        </w:rPr>
        <w:t>Z</w:t>
      </w:r>
      <w:r w:rsidR="00F91DDD" w:rsidRPr="000750E4">
        <w:rPr>
          <w:rFonts w:ascii="Times New Roman" w:hAnsi="Times New Roman" w:cs="Times New Roman"/>
        </w:rPr>
        <w:t>áverečného účtu</w:t>
      </w:r>
      <w:r w:rsidR="00F10F97">
        <w:rPr>
          <w:rFonts w:ascii="Times New Roman" w:hAnsi="Times New Roman" w:cs="Times New Roman"/>
        </w:rPr>
        <w:t>“</w:t>
      </w:r>
      <w:r w:rsidR="00F91DDD" w:rsidRPr="000750E4">
        <w:rPr>
          <w:rFonts w:ascii="Times New Roman" w:hAnsi="Times New Roman" w:cs="Times New Roman"/>
        </w:rPr>
        <w:t xml:space="preserve"> </w:t>
      </w:r>
      <w:r w:rsidR="00F91DDD" w:rsidRPr="00F10F97">
        <w:rPr>
          <w:rFonts w:ascii="Times New Roman" w:hAnsi="Times New Roman" w:cs="Times New Roman"/>
          <w:b/>
        </w:rPr>
        <w:t xml:space="preserve">obsahuje povinné náležitosti podľa </w:t>
      </w:r>
      <w:proofErr w:type="spellStart"/>
      <w:r w:rsidR="00F91DDD" w:rsidRPr="00F10F97">
        <w:rPr>
          <w:rFonts w:ascii="Times New Roman" w:hAnsi="Times New Roman" w:cs="Times New Roman"/>
          <w:b/>
        </w:rPr>
        <w:t>ust</w:t>
      </w:r>
      <w:proofErr w:type="spellEnd"/>
      <w:r w:rsidR="007649B5" w:rsidRPr="00F10F97">
        <w:rPr>
          <w:rFonts w:ascii="Times New Roman" w:hAnsi="Times New Roman" w:cs="Times New Roman"/>
          <w:b/>
        </w:rPr>
        <w:t>.</w:t>
      </w:r>
      <w:r w:rsidR="00F91DDD" w:rsidRPr="00F10F97">
        <w:rPr>
          <w:rFonts w:ascii="Times New Roman" w:hAnsi="Times New Roman" w:cs="Times New Roman"/>
          <w:b/>
        </w:rPr>
        <w:t xml:space="preserve"> § 16 ods. 5 zákona o rozpočtových pravidlách územnej samosprávy: údaje o plnení rozpočtu v členení podľa </w:t>
      </w:r>
      <w:proofErr w:type="spellStart"/>
      <w:r w:rsidR="00F91DDD" w:rsidRPr="00F10F97">
        <w:rPr>
          <w:rFonts w:ascii="Times New Roman" w:hAnsi="Times New Roman" w:cs="Times New Roman"/>
          <w:b/>
        </w:rPr>
        <w:t>u</w:t>
      </w:r>
      <w:r w:rsidR="00A74D19" w:rsidRPr="00F10F97">
        <w:rPr>
          <w:rFonts w:ascii="Times New Roman" w:hAnsi="Times New Roman" w:cs="Times New Roman"/>
          <w:b/>
        </w:rPr>
        <w:t>st</w:t>
      </w:r>
      <w:proofErr w:type="spellEnd"/>
      <w:r w:rsidR="00A74D19" w:rsidRPr="00F10F97">
        <w:rPr>
          <w:rFonts w:ascii="Times New Roman" w:hAnsi="Times New Roman" w:cs="Times New Roman"/>
          <w:b/>
        </w:rPr>
        <w:t>. 10 ods. 3 cit. z</w:t>
      </w:r>
      <w:r w:rsidR="00F91DDD" w:rsidRPr="00F10F97">
        <w:rPr>
          <w:rFonts w:ascii="Times New Roman" w:hAnsi="Times New Roman" w:cs="Times New Roman"/>
          <w:b/>
        </w:rPr>
        <w:t>ákona v súlade s rozpočtovou klasifikáciou, bilanciou aktív a pasív, prehľad o stave a vývoji dlhu, údaje o hospodárení príspevkovej organizácie v zriaďovateľskej pôsobnosti.</w:t>
      </w:r>
      <w:r w:rsidR="00F91DDD" w:rsidRPr="00F10F97">
        <w:rPr>
          <w:rFonts w:ascii="Times New Roman" w:hAnsi="Times New Roman" w:cs="Times New Roman"/>
          <w:b/>
          <w:sz w:val="23"/>
          <w:szCs w:val="23"/>
        </w:rPr>
        <w:t xml:space="preserve">  </w:t>
      </w:r>
    </w:p>
    <w:p w:rsidR="00601275" w:rsidRPr="00601275" w:rsidRDefault="00601275" w:rsidP="00F91DD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936DA" w:rsidRPr="001936DA" w:rsidRDefault="001936DA" w:rsidP="00DF5294">
      <w:pPr>
        <w:pStyle w:val="Default"/>
        <w:numPr>
          <w:ilvl w:val="0"/>
          <w:numId w:val="11"/>
        </w:numPr>
        <w:ind w:left="426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Zákonnosť predloženého záverečného účtu</w:t>
      </w:r>
      <w:r w:rsidR="00A80B5E">
        <w:rPr>
          <w:b/>
          <w:iCs/>
          <w:smallCaps/>
          <w:sz w:val="26"/>
          <w:szCs w:val="26"/>
        </w:rPr>
        <w:t xml:space="preserve"> mesta Stará Ľubovňa za rok 2019</w:t>
      </w:r>
    </w:p>
    <w:p w:rsidR="009078D9" w:rsidRDefault="009078D9" w:rsidP="00DF5294">
      <w:pPr>
        <w:pStyle w:val="Default"/>
        <w:ind w:left="426"/>
        <w:jc w:val="both"/>
        <w:rPr>
          <w:b/>
          <w:iCs/>
          <w:smallCaps/>
          <w:sz w:val="26"/>
          <w:szCs w:val="26"/>
        </w:rPr>
      </w:pPr>
    </w:p>
    <w:p w:rsidR="001936DA" w:rsidRDefault="001936DA" w:rsidP="00DF5294">
      <w:pPr>
        <w:pStyle w:val="Default"/>
        <w:numPr>
          <w:ilvl w:val="1"/>
          <w:numId w:val="13"/>
        </w:numPr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lastRenderedPageBreak/>
        <w:t xml:space="preserve">Súlad so všeobecne záväznými právnymi predpismi </w:t>
      </w:r>
    </w:p>
    <w:p w:rsidR="009078D9" w:rsidRPr="00651B12" w:rsidRDefault="009078D9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8D9" w:rsidRPr="000750E4" w:rsidRDefault="00651B12" w:rsidP="002567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  <w:r w:rsidRPr="000750E4">
        <w:rPr>
          <w:rFonts w:ascii="Times New Roman" w:hAnsi="Times New Roman" w:cs="Times New Roman"/>
          <w:color w:val="000000"/>
        </w:rPr>
        <w:t xml:space="preserve">Návrh </w:t>
      </w:r>
      <w:r w:rsidR="00F10F97">
        <w:rPr>
          <w:rFonts w:ascii="Times New Roman" w:hAnsi="Times New Roman" w:cs="Times New Roman"/>
          <w:color w:val="000000"/>
        </w:rPr>
        <w:t>„</w:t>
      </w:r>
      <w:r w:rsidR="009078D9" w:rsidRPr="000750E4">
        <w:rPr>
          <w:rFonts w:ascii="Times New Roman" w:hAnsi="Times New Roman" w:cs="Times New Roman"/>
          <w:color w:val="000000"/>
        </w:rPr>
        <w:t>Záverečn</w:t>
      </w:r>
      <w:r w:rsidRPr="000750E4">
        <w:rPr>
          <w:rFonts w:ascii="Times New Roman" w:hAnsi="Times New Roman" w:cs="Times New Roman"/>
          <w:color w:val="000000"/>
        </w:rPr>
        <w:t>ého účtu</w:t>
      </w:r>
      <w:r w:rsidR="00F10F97">
        <w:rPr>
          <w:rFonts w:ascii="Times New Roman" w:hAnsi="Times New Roman" w:cs="Times New Roman"/>
          <w:color w:val="000000"/>
        </w:rPr>
        <w:t>“</w:t>
      </w:r>
      <w:r w:rsidRPr="000750E4">
        <w:rPr>
          <w:rFonts w:ascii="Times New Roman" w:hAnsi="Times New Roman" w:cs="Times New Roman"/>
          <w:color w:val="000000"/>
        </w:rPr>
        <w:t xml:space="preserve"> </w:t>
      </w:r>
      <w:r w:rsidR="009078D9" w:rsidRPr="000750E4">
        <w:rPr>
          <w:rFonts w:ascii="Times New Roman" w:hAnsi="Times New Roman" w:cs="Times New Roman"/>
          <w:color w:val="000000"/>
        </w:rPr>
        <w:t xml:space="preserve">je spracovaný v súlade s platnými všeobecne záväznými právnymi predpismi (v čase spracovávania návrhu), </w:t>
      </w:r>
      <w:r w:rsidRPr="000750E4">
        <w:rPr>
          <w:rFonts w:ascii="Times New Roman" w:hAnsi="Times New Roman" w:cs="Times New Roman"/>
        </w:rPr>
        <w:t>ktoré spracovateľ podrobne uvádza v textovej časti návrhu rozpočtu</w:t>
      </w:r>
      <w:r w:rsidR="00D066E6">
        <w:rPr>
          <w:rFonts w:ascii="Times New Roman" w:hAnsi="Times New Roman" w:cs="Times New Roman"/>
        </w:rPr>
        <w:t xml:space="preserve"> alebo</w:t>
      </w:r>
      <w:r w:rsidRPr="000750E4">
        <w:rPr>
          <w:rFonts w:ascii="Times New Roman" w:hAnsi="Times New Roman" w:cs="Times New Roman"/>
        </w:rPr>
        <w:t xml:space="preserve"> pri hodnotení jednotlivých programov rozpočtu. Návrh záverečného účtu je spracovaný </w:t>
      </w:r>
      <w:r w:rsidR="009078D9" w:rsidRPr="000750E4">
        <w:rPr>
          <w:rFonts w:ascii="Times New Roman" w:hAnsi="Times New Roman" w:cs="Times New Roman"/>
          <w:color w:val="000000"/>
        </w:rPr>
        <w:t>najmä v súlade s</w:t>
      </w:r>
      <w:r w:rsidR="00D066E6">
        <w:rPr>
          <w:rFonts w:ascii="Times New Roman" w:hAnsi="Times New Roman" w:cs="Times New Roman"/>
          <w:color w:val="000000"/>
        </w:rPr>
        <w:t> </w:t>
      </w:r>
      <w:proofErr w:type="spellStart"/>
      <w:r w:rsidR="009078D9" w:rsidRPr="000750E4">
        <w:rPr>
          <w:rFonts w:ascii="Times New Roman" w:hAnsi="Times New Roman" w:cs="Times New Roman"/>
          <w:color w:val="000000"/>
        </w:rPr>
        <w:t>ust</w:t>
      </w:r>
      <w:proofErr w:type="spellEnd"/>
      <w:r w:rsidR="00D066E6">
        <w:rPr>
          <w:rFonts w:ascii="Times New Roman" w:hAnsi="Times New Roman" w:cs="Times New Roman"/>
          <w:color w:val="000000"/>
        </w:rPr>
        <w:t>.</w:t>
      </w:r>
      <w:r w:rsidR="009078D9" w:rsidRPr="000750E4">
        <w:rPr>
          <w:rFonts w:ascii="Times New Roman" w:hAnsi="Times New Roman" w:cs="Times New Roman"/>
          <w:color w:val="000000"/>
        </w:rPr>
        <w:t xml:space="preserve"> § 16 zákona č. </w:t>
      </w:r>
      <w:r w:rsidR="009078D9" w:rsidRPr="000750E4">
        <w:rPr>
          <w:rFonts w:ascii="Times New Roman" w:hAnsi="Times New Roman" w:cs="Times New Roman"/>
        </w:rPr>
        <w:t>583/2004 Z.z. o rozpočtových pravidlách územnej samosprávy a o zmene a doplnení niektorých zákono</w:t>
      </w:r>
      <w:r w:rsidR="0041560A" w:rsidRPr="000750E4">
        <w:rPr>
          <w:rFonts w:ascii="Times New Roman" w:hAnsi="Times New Roman" w:cs="Times New Roman"/>
        </w:rPr>
        <w:t xml:space="preserve">v v znení neskorších predpisov </w:t>
      </w:r>
      <w:r w:rsidRPr="000750E4">
        <w:rPr>
          <w:rFonts w:ascii="Times New Roman" w:hAnsi="Times New Roman" w:cs="Times New Roman"/>
        </w:rPr>
        <w:t>(ďalej len „zákon č. 583/2004 Z.z.</w:t>
      </w:r>
      <w:r w:rsidR="00DF5294" w:rsidRPr="000750E4">
        <w:rPr>
          <w:rFonts w:ascii="Times New Roman" w:hAnsi="Times New Roman" w:cs="Times New Roman"/>
        </w:rPr>
        <w:t>“</w:t>
      </w:r>
      <w:r w:rsidR="00DF6BEB" w:rsidRPr="000750E4">
        <w:rPr>
          <w:rFonts w:ascii="Times New Roman" w:hAnsi="Times New Roman" w:cs="Times New Roman"/>
        </w:rPr>
        <w:t>)</w:t>
      </w:r>
      <w:r w:rsidR="00DF5294" w:rsidRPr="000750E4">
        <w:rPr>
          <w:rFonts w:ascii="Times New Roman" w:hAnsi="Times New Roman" w:cs="Times New Roman"/>
        </w:rPr>
        <w:t xml:space="preserve"> </w:t>
      </w:r>
      <w:r w:rsidR="0041560A" w:rsidRPr="000750E4">
        <w:rPr>
          <w:rFonts w:ascii="Times New Roman" w:hAnsi="Times New Roman" w:cs="Times New Roman"/>
        </w:rPr>
        <w:t>a</w:t>
      </w:r>
      <w:r w:rsidR="00F10F97">
        <w:rPr>
          <w:rFonts w:ascii="Times New Roman" w:hAnsi="Times New Roman" w:cs="Times New Roman"/>
        </w:rPr>
        <w:t> </w:t>
      </w:r>
      <w:proofErr w:type="spellStart"/>
      <w:r w:rsidR="0041560A" w:rsidRPr="000750E4">
        <w:rPr>
          <w:rFonts w:ascii="Times New Roman" w:hAnsi="Times New Roman" w:cs="Times New Roman"/>
        </w:rPr>
        <w:t>ust</w:t>
      </w:r>
      <w:proofErr w:type="spellEnd"/>
      <w:r w:rsidR="00F10F97">
        <w:rPr>
          <w:rFonts w:ascii="Times New Roman" w:hAnsi="Times New Roman" w:cs="Times New Roman"/>
        </w:rPr>
        <w:t>.</w:t>
      </w:r>
      <w:r w:rsidR="0041560A" w:rsidRPr="000750E4">
        <w:rPr>
          <w:rFonts w:ascii="Times New Roman" w:hAnsi="Times New Roman" w:cs="Times New Roman"/>
        </w:rPr>
        <w:t xml:space="preserve"> § 20 zákona č. 431/2002 Z.z. o účtovníctve v znení neskorších zmien a doplnkov. </w:t>
      </w:r>
      <w:r w:rsidRPr="000750E4">
        <w:rPr>
          <w:rFonts w:ascii="Times New Roman" w:hAnsi="Times New Roman" w:cs="Times New Roman"/>
        </w:rPr>
        <w:t xml:space="preserve">Návrh </w:t>
      </w:r>
      <w:r w:rsidR="00F10F97">
        <w:rPr>
          <w:rFonts w:ascii="Times New Roman" w:hAnsi="Times New Roman" w:cs="Times New Roman"/>
        </w:rPr>
        <w:t>„</w:t>
      </w:r>
      <w:r w:rsidR="009078D9" w:rsidRPr="000750E4">
        <w:rPr>
          <w:rFonts w:ascii="Times New Roman" w:hAnsi="Times New Roman" w:cs="Times New Roman"/>
        </w:rPr>
        <w:t>Záverečn</w:t>
      </w:r>
      <w:r w:rsidRPr="000750E4">
        <w:rPr>
          <w:rFonts w:ascii="Times New Roman" w:hAnsi="Times New Roman" w:cs="Times New Roman"/>
        </w:rPr>
        <w:t>ého</w:t>
      </w:r>
      <w:r w:rsidR="009078D9" w:rsidRPr="000750E4">
        <w:rPr>
          <w:rFonts w:ascii="Times New Roman" w:hAnsi="Times New Roman" w:cs="Times New Roman"/>
        </w:rPr>
        <w:t xml:space="preserve"> účt</w:t>
      </w:r>
      <w:r w:rsidRPr="000750E4">
        <w:rPr>
          <w:rFonts w:ascii="Times New Roman" w:hAnsi="Times New Roman" w:cs="Times New Roman"/>
        </w:rPr>
        <w:t>u</w:t>
      </w:r>
      <w:r w:rsidR="00F10F97">
        <w:rPr>
          <w:rFonts w:ascii="Times New Roman" w:hAnsi="Times New Roman" w:cs="Times New Roman"/>
        </w:rPr>
        <w:t>“</w:t>
      </w:r>
      <w:r w:rsidR="009078D9" w:rsidRPr="000750E4">
        <w:rPr>
          <w:rFonts w:ascii="Times New Roman" w:hAnsi="Times New Roman" w:cs="Times New Roman"/>
        </w:rPr>
        <w:t xml:space="preserve"> zohľadňuje </w:t>
      </w:r>
      <w:proofErr w:type="spellStart"/>
      <w:r w:rsidR="009078D9" w:rsidRPr="000750E4">
        <w:rPr>
          <w:rFonts w:ascii="Times New Roman" w:hAnsi="Times New Roman" w:cs="Times New Roman"/>
        </w:rPr>
        <w:t>ust</w:t>
      </w:r>
      <w:proofErr w:type="spellEnd"/>
      <w:r w:rsidR="00D066E6">
        <w:rPr>
          <w:rFonts w:ascii="Times New Roman" w:hAnsi="Times New Roman" w:cs="Times New Roman"/>
        </w:rPr>
        <w:t>.</w:t>
      </w:r>
      <w:r w:rsidR="009078D9" w:rsidRPr="000750E4">
        <w:rPr>
          <w:rFonts w:ascii="Times New Roman" w:hAnsi="Times New Roman" w:cs="Times New Roman"/>
        </w:rPr>
        <w:t xml:space="preserve"> zákona č. 523/2004 Z.z. o rozpočtových pravidlách verejnej správy a o zmene a doplnení niektorých zákonov v znení neskorších predpisov, </w:t>
      </w:r>
      <w:r w:rsidR="009078D9" w:rsidRPr="000750E4">
        <w:rPr>
          <w:rFonts w:ascii="Times New Roman" w:hAnsi="Times New Roman" w:cs="Times New Roman"/>
          <w:bCs/>
        </w:rPr>
        <w:t xml:space="preserve">zákona č. 597/2003 Z.z. o financovaní základných škôl, stredných škôl a školských zariadení </w:t>
      </w:r>
      <w:r w:rsidR="009078D9" w:rsidRPr="000750E4">
        <w:rPr>
          <w:rFonts w:ascii="Times New Roman" w:hAnsi="Times New Roman" w:cs="Times New Roman"/>
        </w:rPr>
        <w:t xml:space="preserve">v znení neskorších predpisov </w:t>
      </w:r>
      <w:r w:rsidR="009078D9" w:rsidRPr="000750E4">
        <w:rPr>
          <w:rFonts w:ascii="Times New Roman" w:hAnsi="Times New Roman" w:cs="Times New Roman"/>
          <w:bCs/>
        </w:rPr>
        <w:t xml:space="preserve">a ostatné súvisiace </w:t>
      </w:r>
      <w:r w:rsidR="00D149DC" w:rsidRPr="000750E4">
        <w:rPr>
          <w:rFonts w:ascii="Times New Roman" w:hAnsi="Times New Roman" w:cs="Times New Roman"/>
          <w:bCs/>
        </w:rPr>
        <w:t xml:space="preserve">všeobecne záväzné </w:t>
      </w:r>
      <w:r w:rsidR="009078D9" w:rsidRPr="000750E4">
        <w:rPr>
          <w:rFonts w:ascii="Times New Roman" w:hAnsi="Times New Roman" w:cs="Times New Roman"/>
          <w:bCs/>
        </w:rPr>
        <w:t xml:space="preserve">právne </w:t>
      </w:r>
      <w:r w:rsidR="00D149DC" w:rsidRPr="000750E4">
        <w:rPr>
          <w:rFonts w:ascii="Times New Roman" w:hAnsi="Times New Roman" w:cs="Times New Roman"/>
          <w:bCs/>
        </w:rPr>
        <w:t>predpisy</w:t>
      </w:r>
      <w:r w:rsidR="009078D9" w:rsidRPr="000750E4">
        <w:rPr>
          <w:rFonts w:ascii="Times New Roman" w:hAnsi="Times New Roman" w:cs="Times New Roman"/>
          <w:bCs/>
        </w:rPr>
        <w:t>.</w:t>
      </w:r>
    </w:p>
    <w:p w:rsidR="009078D9" w:rsidRPr="001936DA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936DA" w:rsidRDefault="001936DA" w:rsidP="00DF5294">
      <w:pPr>
        <w:pStyle w:val="Default"/>
        <w:numPr>
          <w:ilvl w:val="1"/>
          <w:numId w:val="13"/>
        </w:numPr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Dodržanie informačnej povinnosti zo strany mesta </w:t>
      </w:r>
    </w:p>
    <w:p w:rsidR="009078D9" w:rsidRDefault="009078D9" w:rsidP="00DF5294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7347F8" w:rsidRPr="000750E4" w:rsidRDefault="009078D9" w:rsidP="002131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 xml:space="preserve">Vyvesením </w:t>
      </w:r>
      <w:r w:rsidR="00651B12" w:rsidRPr="000750E4">
        <w:rPr>
          <w:rFonts w:ascii="Times New Roman" w:hAnsi="Times New Roman" w:cs="Times New Roman"/>
        </w:rPr>
        <w:t xml:space="preserve">návrhu </w:t>
      </w:r>
      <w:r w:rsidR="00F10F97">
        <w:rPr>
          <w:rFonts w:ascii="Times New Roman" w:hAnsi="Times New Roman" w:cs="Times New Roman"/>
        </w:rPr>
        <w:t>„</w:t>
      </w:r>
      <w:r w:rsidR="00651B12" w:rsidRPr="000750E4">
        <w:rPr>
          <w:rFonts w:ascii="Times New Roman" w:hAnsi="Times New Roman" w:cs="Times New Roman"/>
        </w:rPr>
        <w:t>Z</w:t>
      </w:r>
      <w:r w:rsidRPr="000750E4">
        <w:rPr>
          <w:rFonts w:ascii="Times New Roman" w:hAnsi="Times New Roman" w:cs="Times New Roman"/>
        </w:rPr>
        <w:t>áverečného účtu</w:t>
      </w:r>
      <w:r w:rsidR="00F10F97">
        <w:rPr>
          <w:rFonts w:ascii="Times New Roman" w:hAnsi="Times New Roman" w:cs="Times New Roman"/>
        </w:rPr>
        <w:t>“</w:t>
      </w:r>
      <w:r w:rsidRPr="000750E4">
        <w:rPr>
          <w:rFonts w:ascii="Times New Roman" w:hAnsi="Times New Roman" w:cs="Times New Roman"/>
        </w:rPr>
        <w:t xml:space="preserve"> na úradnej tabuli mesta</w:t>
      </w:r>
      <w:r w:rsidR="003407D7" w:rsidRPr="000750E4">
        <w:rPr>
          <w:rFonts w:ascii="Times New Roman" w:hAnsi="Times New Roman" w:cs="Times New Roman"/>
        </w:rPr>
        <w:t xml:space="preserve"> a</w:t>
      </w:r>
      <w:r w:rsidR="00651B12" w:rsidRPr="000750E4">
        <w:rPr>
          <w:rFonts w:ascii="Times New Roman" w:hAnsi="Times New Roman" w:cs="Times New Roman"/>
        </w:rPr>
        <w:t xml:space="preserve"> webovom sídle </w:t>
      </w:r>
      <w:r w:rsidR="00D149DC" w:rsidRPr="000750E4">
        <w:rPr>
          <w:rFonts w:ascii="Times New Roman" w:hAnsi="Times New Roman" w:cs="Times New Roman"/>
        </w:rPr>
        <w:t>v</w:t>
      </w:r>
      <w:r w:rsidRPr="000750E4">
        <w:rPr>
          <w:rFonts w:ascii="Times New Roman" w:hAnsi="Times New Roman" w:cs="Times New Roman"/>
        </w:rPr>
        <w:t> zákonom stanovenej lehote</w:t>
      </w:r>
      <w:r w:rsidR="003407D7" w:rsidRPr="000750E4">
        <w:rPr>
          <w:rFonts w:ascii="Times New Roman" w:hAnsi="Times New Roman" w:cs="Times New Roman"/>
        </w:rPr>
        <w:t xml:space="preserve"> </w:t>
      </w:r>
      <w:r w:rsidRPr="009E1B9C">
        <w:rPr>
          <w:rFonts w:ascii="Times New Roman" w:hAnsi="Times New Roman" w:cs="Times New Roman"/>
        </w:rPr>
        <w:t xml:space="preserve">dňa </w:t>
      </w:r>
      <w:r w:rsidR="00651B12" w:rsidRPr="009E1B9C">
        <w:rPr>
          <w:rFonts w:ascii="Times New Roman" w:hAnsi="Times New Roman" w:cs="Times New Roman"/>
        </w:rPr>
        <w:t>1</w:t>
      </w:r>
      <w:r w:rsidR="00A80B5E" w:rsidRPr="009E1B9C">
        <w:rPr>
          <w:rFonts w:ascii="Times New Roman" w:hAnsi="Times New Roman" w:cs="Times New Roman"/>
        </w:rPr>
        <w:t>6</w:t>
      </w:r>
      <w:r w:rsidRPr="009E1B9C">
        <w:rPr>
          <w:rFonts w:ascii="Times New Roman" w:hAnsi="Times New Roman" w:cs="Times New Roman"/>
        </w:rPr>
        <w:t>.3.20</w:t>
      </w:r>
      <w:r w:rsidR="00A80B5E" w:rsidRPr="009E1B9C">
        <w:rPr>
          <w:rFonts w:ascii="Times New Roman" w:hAnsi="Times New Roman" w:cs="Times New Roman"/>
        </w:rPr>
        <w:t>20</w:t>
      </w:r>
      <w:r w:rsidRPr="009E1B9C">
        <w:rPr>
          <w:rFonts w:ascii="Times New Roman" w:hAnsi="Times New Roman" w:cs="Times New Roman"/>
        </w:rPr>
        <w:t>,</w:t>
      </w:r>
      <w:r w:rsidRPr="000750E4">
        <w:rPr>
          <w:rFonts w:ascii="Times New Roman" w:hAnsi="Times New Roman" w:cs="Times New Roman"/>
        </w:rPr>
        <w:t xml:space="preserve"> bola </w:t>
      </w:r>
      <w:r w:rsidRPr="000750E4">
        <w:rPr>
          <w:rFonts w:ascii="Times New Roman" w:hAnsi="Times New Roman" w:cs="Times New Roman"/>
          <w:b/>
        </w:rPr>
        <w:t xml:space="preserve">splnená povinnosť </w:t>
      </w:r>
      <w:r w:rsidRPr="000750E4">
        <w:rPr>
          <w:rFonts w:ascii="Times New Roman" w:hAnsi="Times New Roman" w:cs="Times New Roman"/>
        </w:rPr>
        <w:t>uložená v</w:t>
      </w:r>
      <w:r w:rsidR="00B55B24" w:rsidRPr="000750E4">
        <w:rPr>
          <w:rFonts w:ascii="Times New Roman" w:hAnsi="Times New Roman" w:cs="Times New Roman"/>
        </w:rPr>
        <w:t> </w:t>
      </w:r>
      <w:proofErr w:type="spellStart"/>
      <w:r w:rsidR="00B55B24" w:rsidRPr="000750E4">
        <w:rPr>
          <w:rFonts w:ascii="Times New Roman" w:hAnsi="Times New Roman" w:cs="Times New Roman"/>
        </w:rPr>
        <w:t>ust</w:t>
      </w:r>
      <w:proofErr w:type="spellEnd"/>
      <w:r w:rsidR="00B55B24" w:rsidRPr="000750E4">
        <w:rPr>
          <w:rFonts w:ascii="Times New Roman" w:hAnsi="Times New Roman" w:cs="Times New Roman"/>
        </w:rPr>
        <w:t xml:space="preserve">. </w:t>
      </w:r>
      <w:r w:rsidRPr="000750E4">
        <w:rPr>
          <w:rFonts w:ascii="Times New Roman" w:hAnsi="Times New Roman" w:cs="Times New Roman"/>
        </w:rPr>
        <w:t>§ 9 ods.2 zákona č. 369/1990 Zb.</w:t>
      </w:r>
      <w:r w:rsidR="0025679E" w:rsidRPr="000750E4">
        <w:rPr>
          <w:rFonts w:ascii="Times New Roman" w:hAnsi="Times New Roman" w:cs="Times New Roman"/>
        </w:rPr>
        <w:t xml:space="preserve"> </w:t>
      </w:r>
      <w:r w:rsidRPr="000750E4">
        <w:rPr>
          <w:rFonts w:ascii="Times New Roman" w:hAnsi="Times New Roman" w:cs="Times New Roman"/>
        </w:rPr>
        <w:t xml:space="preserve">o obecnom zriadení </w:t>
      </w:r>
      <w:r w:rsidRPr="000750E4">
        <w:rPr>
          <w:rFonts w:ascii="Times New Roman" w:hAnsi="Times New Roman" w:cs="Times New Roman"/>
          <w:bCs/>
        </w:rPr>
        <w:t>a</w:t>
      </w:r>
      <w:r w:rsidR="00D066E6">
        <w:rPr>
          <w:rFonts w:ascii="Times New Roman" w:hAnsi="Times New Roman" w:cs="Times New Roman"/>
          <w:bCs/>
        </w:rPr>
        <w:t> </w:t>
      </w:r>
      <w:proofErr w:type="spellStart"/>
      <w:r w:rsidRPr="000750E4">
        <w:rPr>
          <w:rFonts w:ascii="Times New Roman" w:hAnsi="Times New Roman" w:cs="Times New Roman"/>
          <w:bCs/>
        </w:rPr>
        <w:t>ust</w:t>
      </w:r>
      <w:proofErr w:type="spellEnd"/>
      <w:r w:rsidR="00D066E6">
        <w:rPr>
          <w:rFonts w:ascii="Times New Roman" w:hAnsi="Times New Roman" w:cs="Times New Roman"/>
          <w:bCs/>
        </w:rPr>
        <w:t>.</w:t>
      </w:r>
      <w:r w:rsidRPr="000750E4">
        <w:rPr>
          <w:rFonts w:ascii="Times New Roman" w:hAnsi="Times New Roman" w:cs="Times New Roman"/>
          <w:bCs/>
        </w:rPr>
        <w:t>§ 16 ods</w:t>
      </w:r>
      <w:r w:rsidR="00A74D19" w:rsidRPr="000750E4">
        <w:rPr>
          <w:rFonts w:ascii="Times New Roman" w:hAnsi="Times New Roman" w:cs="Times New Roman"/>
          <w:bCs/>
        </w:rPr>
        <w:t xml:space="preserve">. </w:t>
      </w:r>
      <w:r w:rsidRPr="000750E4">
        <w:rPr>
          <w:rFonts w:ascii="Times New Roman" w:hAnsi="Times New Roman" w:cs="Times New Roman"/>
          <w:bCs/>
        </w:rPr>
        <w:t xml:space="preserve">9 </w:t>
      </w:r>
      <w:r w:rsidR="00651B12" w:rsidRPr="000750E4">
        <w:rPr>
          <w:rFonts w:ascii="Times New Roman" w:hAnsi="Times New Roman" w:cs="Times New Roman"/>
        </w:rPr>
        <w:t>zákona č. 583/2004 Z.z.</w:t>
      </w:r>
      <w:r w:rsidRPr="000750E4">
        <w:rPr>
          <w:rFonts w:ascii="Times New Roman" w:hAnsi="Times New Roman" w:cs="Times New Roman"/>
        </w:rPr>
        <w:t>, podľa ktorého má byť návrh rozpočtu pred schválením zverejnený najmenej 15 dní spôsobom v mieste obvyklým, aby sa k n</w:t>
      </w:r>
      <w:r w:rsidR="002131B6" w:rsidRPr="000750E4">
        <w:rPr>
          <w:rFonts w:ascii="Times New Roman" w:hAnsi="Times New Roman" w:cs="Times New Roman"/>
        </w:rPr>
        <w:t>emu mohli vyjadriť</w:t>
      </w:r>
      <w:r w:rsidR="00D066E6" w:rsidRPr="00D066E6">
        <w:rPr>
          <w:rFonts w:ascii="Times New Roman" w:hAnsi="Times New Roman" w:cs="Times New Roman"/>
        </w:rPr>
        <w:t xml:space="preserve"> </w:t>
      </w:r>
      <w:r w:rsidR="00D066E6" w:rsidRPr="000750E4">
        <w:rPr>
          <w:rFonts w:ascii="Times New Roman" w:hAnsi="Times New Roman" w:cs="Times New Roman"/>
        </w:rPr>
        <w:t>obyvatelia</w:t>
      </w:r>
      <w:r w:rsidR="00925DEF">
        <w:rPr>
          <w:rFonts w:ascii="Times New Roman" w:hAnsi="Times New Roman" w:cs="Times New Roman"/>
        </w:rPr>
        <w:t xml:space="preserve"> alebo </w:t>
      </w:r>
      <w:r w:rsidR="00D066E6">
        <w:rPr>
          <w:rFonts w:ascii="Times New Roman" w:hAnsi="Times New Roman" w:cs="Times New Roman"/>
        </w:rPr>
        <w:t>odborná verejnosť</w:t>
      </w:r>
      <w:r w:rsidR="002131B6" w:rsidRPr="000750E4">
        <w:rPr>
          <w:rFonts w:ascii="Times New Roman" w:hAnsi="Times New Roman" w:cs="Times New Roman"/>
        </w:rPr>
        <w:t xml:space="preserve">. </w:t>
      </w:r>
    </w:p>
    <w:p w:rsidR="007347F8" w:rsidRPr="000750E4" w:rsidRDefault="007347F8" w:rsidP="00DF5294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936DA" w:rsidRDefault="0041560A" w:rsidP="00651B12">
      <w:pPr>
        <w:pStyle w:val="Default"/>
        <w:numPr>
          <w:ilvl w:val="1"/>
          <w:numId w:val="13"/>
        </w:numPr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 xml:space="preserve">Dodržanie </w:t>
      </w:r>
      <w:r w:rsidR="001936DA" w:rsidRPr="001936DA">
        <w:rPr>
          <w:b/>
          <w:iCs/>
          <w:smallCaps/>
          <w:sz w:val="26"/>
          <w:szCs w:val="26"/>
        </w:rPr>
        <w:t xml:space="preserve"> povinnosti auditu zo strany mesta </w:t>
      </w:r>
    </w:p>
    <w:p w:rsidR="0041560A" w:rsidRPr="0041560A" w:rsidRDefault="0041560A" w:rsidP="00DF5294">
      <w:pPr>
        <w:pStyle w:val="Default"/>
        <w:jc w:val="both"/>
        <w:rPr>
          <w:b/>
          <w:iCs/>
          <w:smallCaps/>
        </w:rPr>
      </w:pPr>
    </w:p>
    <w:p w:rsidR="0041560A" w:rsidRPr="000750E4" w:rsidRDefault="0041560A" w:rsidP="00DF5294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Mesto si splnilo povinnosť podľa </w:t>
      </w:r>
      <w:proofErr w:type="spellStart"/>
      <w:r w:rsidRPr="000750E4">
        <w:rPr>
          <w:sz w:val="22"/>
          <w:szCs w:val="22"/>
        </w:rPr>
        <w:t>ust</w:t>
      </w:r>
      <w:proofErr w:type="spellEnd"/>
      <w:r w:rsidR="00651B12" w:rsidRPr="000750E4">
        <w:rPr>
          <w:sz w:val="22"/>
          <w:szCs w:val="22"/>
        </w:rPr>
        <w:t xml:space="preserve">. </w:t>
      </w:r>
      <w:r w:rsidRPr="000750E4">
        <w:rPr>
          <w:bCs/>
          <w:sz w:val="22"/>
          <w:szCs w:val="22"/>
        </w:rPr>
        <w:t xml:space="preserve">§ 16 ods. 3 </w:t>
      </w:r>
      <w:r w:rsidR="00651B12" w:rsidRPr="000750E4">
        <w:rPr>
          <w:sz w:val="22"/>
          <w:szCs w:val="22"/>
        </w:rPr>
        <w:t xml:space="preserve">zákona č. 583/2004 Z.z. a dalo si overiť účtovnú závierku audítorom podľa </w:t>
      </w:r>
      <w:r w:rsidR="00E24A8E" w:rsidRPr="000750E4">
        <w:rPr>
          <w:sz w:val="22"/>
          <w:szCs w:val="22"/>
        </w:rPr>
        <w:t xml:space="preserve"> </w:t>
      </w:r>
      <w:proofErr w:type="spellStart"/>
      <w:r w:rsidR="00E24A8E" w:rsidRPr="000750E4">
        <w:rPr>
          <w:sz w:val="22"/>
          <w:szCs w:val="22"/>
        </w:rPr>
        <w:t>ust</w:t>
      </w:r>
      <w:proofErr w:type="spellEnd"/>
      <w:r w:rsidR="00E24A8E" w:rsidRPr="000750E4">
        <w:rPr>
          <w:sz w:val="22"/>
          <w:szCs w:val="22"/>
        </w:rPr>
        <w:t xml:space="preserve">. § 9 ods. 4 </w:t>
      </w:r>
      <w:r w:rsidR="00651B12" w:rsidRPr="000750E4">
        <w:rPr>
          <w:sz w:val="22"/>
          <w:szCs w:val="22"/>
        </w:rPr>
        <w:t>zákon</w:t>
      </w:r>
      <w:r w:rsidR="00E24A8E" w:rsidRPr="000750E4">
        <w:rPr>
          <w:sz w:val="22"/>
          <w:szCs w:val="22"/>
        </w:rPr>
        <w:t>a</w:t>
      </w:r>
      <w:r w:rsidR="00651B12" w:rsidRPr="000750E4">
        <w:rPr>
          <w:sz w:val="22"/>
          <w:szCs w:val="22"/>
        </w:rPr>
        <w:t xml:space="preserve"> č. 369/1990 Zb. o obecnom zriadení v </w:t>
      </w:r>
      <w:r w:rsidR="00E24A8E" w:rsidRPr="000750E4">
        <w:rPr>
          <w:sz w:val="22"/>
          <w:szCs w:val="22"/>
        </w:rPr>
        <w:t xml:space="preserve">znení neskorších predpisov. </w:t>
      </w:r>
    </w:p>
    <w:p w:rsidR="0041560A" w:rsidRPr="000750E4" w:rsidRDefault="0041560A" w:rsidP="00DF5294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Účtovná závierka bola overená audítorskou spoločnosťou HURINES, </w:t>
      </w:r>
      <w:proofErr w:type="spellStart"/>
      <w:r w:rsidRPr="000750E4">
        <w:rPr>
          <w:sz w:val="22"/>
          <w:szCs w:val="22"/>
        </w:rPr>
        <w:t>s.r.o</w:t>
      </w:r>
      <w:proofErr w:type="spellEnd"/>
      <w:r w:rsidRPr="000750E4">
        <w:rPr>
          <w:sz w:val="22"/>
          <w:szCs w:val="22"/>
        </w:rPr>
        <w:t>.</w:t>
      </w:r>
      <w:r w:rsidR="00D149DC" w:rsidRPr="000750E4">
        <w:rPr>
          <w:sz w:val="22"/>
          <w:szCs w:val="22"/>
        </w:rPr>
        <w:t>, L</w:t>
      </w:r>
      <w:r w:rsidR="003407D7" w:rsidRPr="000750E4">
        <w:rPr>
          <w:sz w:val="22"/>
          <w:szCs w:val="22"/>
        </w:rPr>
        <w:t>icencia</w:t>
      </w:r>
      <w:r w:rsidRPr="000750E4">
        <w:rPr>
          <w:sz w:val="22"/>
          <w:szCs w:val="22"/>
        </w:rPr>
        <w:t xml:space="preserve"> </w:t>
      </w:r>
      <w:r w:rsidR="00D149DC" w:rsidRPr="000750E4">
        <w:rPr>
          <w:sz w:val="22"/>
          <w:szCs w:val="22"/>
        </w:rPr>
        <w:t xml:space="preserve">SKAU č. 193, </w:t>
      </w:r>
      <w:r w:rsidRPr="000750E4">
        <w:rPr>
          <w:sz w:val="22"/>
          <w:szCs w:val="22"/>
        </w:rPr>
        <w:t>– viď</w:t>
      </w:r>
      <w:r w:rsidR="00DB60B1" w:rsidRPr="000750E4">
        <w:rPr>
          <w:sz w:val="22"/>
          <w:szCs w:val="22"/>
        </w:rPr>
        <w:t xml:space="preserve">. </w:t>
      </w:r>
      <w:r w:rsidRPr="000750E4">
        <w:rPr>
          <w:sz w:val="22"/>
          <w:szCs w:val="22"/>
        </w:rPr>
        <w:t xml:space="preserve"> </w:t>
      </w:r>
      <w:r w:rsidR="00651B12" w:rsidRPr="000750E4">
        <w:rPr>
          <w:sz w:val="22"/>
          <w:szCs w:val="22"/>
        </w:rPr>
        <w:t xml:space="preserve">Správa nezávislého audítora </w:t>
      </w:r>
      <w:r w:rsidR="0028568F">
        <w:rPr>
          <w:sz w:val="22"/>
          <w:szCs w:val="22"/>
        </w:rPr>
        <w:t xml:space="preserve">pre štatutárny orgán a mestské zastupiteľstvo Mesta Stará Ľubovňa </w:t>
      </w:r>
      <w:r w:rsidR="00651B12" w:rsidRPr="0028568F">
        <w:rPr>
          <w:sz w:val="22"/>
          <w:szCs w:val="22"/>
        </w:rPr>
        <w:t>z</w:t>
      </w:r>
      <w:r w:rsidR="0006160D">
        <w:rPr>
          <w:sz w:val="22"/>
          <w:szCs w:val="22"/>
        </w:rPr>
        <w:t>o 6.apríla 2020</w:t>
      </w:r>
      <w:r w:rsidRPr="0028568F">
        <w:rPr>
          <w:sz w:val="22"/>
          <w:szCs w:val="22"/>
        </w:rPr>
        <w:t>.</w:t>
      </w:r>
    </w:p>
    <w:p w:rsidR="0041560A" w:rsidRPr="000750E4" w:rsidRDefault="0041560A" w:rsidP="00DF5294">
      <w:pPr>
        <w:pStyle w:val="Default"/>
        <w:ind w:firstLine="708"/>
        <w:jc w:val="both"/>
        <w:rPr>
          <w:b/>
          <w:iCs/>
          <w:smallCaps/>
          <w:sz w:val="22"/>
          <w:szCs w:val="22"/>
        </w:rPr>
      </w:pPr>
    </w:p>
    <w:p w:rsidR="001936DA" w:rsidRDefault="001936DA" w:rsidP="00651B12">
      <w:pPr>
        <w:pStyle w:val="Default"/>
        <w:numPr>
          <w:ilvl w:val="0"/>
          <w:numId w:val="13"/>
        </w:numPr>
        <w:ind w:left="284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Metodická správnosť predloženého </w:t>
      </w:r>
      <w:r w:rsidR="00651B12">
        <w:rPr>
          <w:b/>
          <w:iCs/>
          <w:smallCaps/>
          <w:sz w:val="26"/>
          <w:szCs w:val="26"/>
        </w:rPr>
        <w:t xml:space="preserve">návrhu </w:t>
      </w:r>
      <w:r w:rsidRPr="001936DA">
        <w:rPr>
          <w:b/>
          <w:iCs/>
          <w:smallCaps/>
          <w:sz w:val="26"/>
          <w:szCs w:val="26"/>
        </w:rPr>
        <w:t>záverečného účtu</w:t>
      </w:r>
    </w:p>
    <w:p w:rsidR="003407D7" w:rsidRDefault="003407D7" w:rsidP="00DF52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mallCaps/>
          <w:color w:val="000000"/>
          <w:sz w:val="26"/>
          <w:szCs w:val="26"/>
        </w:rPr>
      </w:pP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Predložený </w:t>
      </w:r>
      <w:r w:rsidR="00651B12" w:rsidRPr="000750E4">
        <w:rPr>
          <w:rFonts w:ascii="Times New Roman" w:hAnsi="Times New Roman" w:cs="Times New Roman"/>
          <w:color w:val="000000"/>
        </w:rPr>
        <w:t xml:space="preserve">návrh </w:t>
      </w:r>
      <w:r w:rsidR="00077D16">
        <w:rPr>
          <w:rFonts w:ascii="Times New Roman" w:hAnsi="Times New Roman" w:cs="Times New Roman"/>
          <w:color w:val="000000"/>
        </w:rPr>
        <w:t>„</w:t>
      </w:r>
      <w:r w:rsidR="00E24A8E" w:rsidRPr="000750E4">
        <w:rPr>
          <w:rFonts w:ascii="Times New Roman" w:hAnsi="Times New Roman" w:cs="Times New Roman"/>
          <w:color w:val="000000"/>
        </w:rPr>
        <w:t>Z</w:t>
      </w:r>
      <w:r w:rsidRPr="000750E4">
        <w:rPr>
          <w:rFonts w:ascii="Times New Roman" w:hAnsi="Times New Roman" w:cs="Times New Roman"/>
          <w:color w:val="000000"/>
        </w:rPr>
        <w:t>áverečn</w:t>
      </w:r>
      <w:r w:rsidR="00E24A8E" w:rsidRPr="000750E4">
        <w:rPr>
          <w:rFonts w:ascii="Times New Roman" w:hAnsi="Times New Roman" w:cs="Times New Roman"/>
          <w:color w:val="000000"/>
        </w:rPr>
        <w:t>ého</w:t>
      </w:r>
      <w:r w:rsidRPr="000750E4">
        <w:rPr>
          <w:rFonts w:ascii="Times New Roman" w:hAnsi="Times New Roman" w:cs="Times New Roman"/>
          <w:color w:val="000000"/>
        </w:rPr>
        <w:t xml:space="preserve"> účt</w:t>
      </w:r>
      <w:r w:rsidR="00E24A8E" w:rsidRPr="000750E4">
        <w:rPr>
          <w:rFonts w:ascii="Times New Roman" w:hAnsi="Times New Roman" w:cs="Times New Roman"/>
          <w:color w:val="000000"/>
        </w:rPr>
        <w:t>u</w:t>
      </w:r>
      <w:r w:rsidR="00077D16">
        <w:rPr>
          <w:rFonts w:ascii="Times New Roman" w:hAnsi="Times New Roman" w:cs="Times New Roman"/>
          <w:color w:val="000000"/>
        </w:rPr>
        <w:t>“</w:t>
      </w:r>
      <w:r w:rsidRPr="000750E4">
        <w:rPr>
          <w:rFonts w:ascii="Times New Roman" w:hAnsi="Times New Roman" w:cs="Times New Roman"/>
          <w:color w:val="000000"/>
        </w:rPr>
        <w:t xml:space="preserve"> bol spracovaný v súlade s</w:t>
      </w:r>
      <w:r w:rsidR="00651B12" w:rsidRPr="000750E4">
        <w:rPr>
          <w:rFonts w:ascii="Times New Roman" w:hAnsi="Times New Roman" w:cs="Times New Roman"/>
          <w:color w:val="000000"/>
        </w:rPr>
        <w:t> </w:t>
      </w:r>
      <w:proofErr w:type="spellStart"/>
      <w:r w:rsidRPr="000750E4">
        <w:rPr>
          <w:rFonts w:ascii="Times New Roman" w:hAnsi="Times New Roman" w:cs="Times New Roman"/>
          <w:color w:val="000000"/>
        </w:rPr>
        <w:t>ust</w:t>
      </w:r>
      <w:proofErr w:type="spellEnd"/>
      <w:r w:rsidR="00651B12" w:rsidRPr="000750E4">
        <w:rPr>
          <w:rFonts w:ascii="Times New Roman" w:hAnsi="Times New Roman" w:cs="Times New Roman"/>
          <w:color w:val="000000"/>
        </w:rPr>
        <w:t>.</w:t>
      </w:r>
      <w:r w:rsidRPr="000750E4">
        <w:rPr>
          <w:rFonts w:ascii="Times New Roman" w:hAnsi="Times New Roman" w:cs="Times New Roman"/>
          <w:color w:val="000000"/>
        </w:rPr>
        <w:t xml:space="preserve"> § 16 </w:t>
      </w:r>
      <w:r w:rsidR="00651B12" w:rsidRPr="000750E4">
        <w:rPr>
          <w:rFonts w:ascii="Times New Roman" w:hAnsi="Times New Roman" w:cs="Times New Roman"/>
        </w:rPr>
        <w:t>zákona č. 583/2004 Z.z</w:t>
      </w:r>
      <w:r w:rsidR="00651B12" w:rsidRPr="000750E4">
        <w:rPr>
          <w:rFonts w:ascii="Times New Roman" w:hAnsi="Times New Roman" w:cs="Times New Roman"/>
          <w:color w:val="000000"/>
        </w:rPr>
        <w:t xml:space="preserve"> a </w:t>
      </w:r>
      <w:r w:rsidRPr="000750E4">
        <w:rPr>
          <w:rFonts w:ascii="Times New Roman" w:hAnsi="Times New Roman" w:cs="Times New Roman"/>
          <w:color w:val="000000"/>
        </w:rPr>
        <w:t xml:space="preserve">obsahuje údaje: </w:t>
      </w:r>
    </w:p>
    <w:p w:rsidR="00AA0838" w:rsidRPr="000750E4" w:rsidRDefault="00AA0838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="005D1ED1" w:rsidRPr="000750E4">
        <w:rPr>
          <w:rFonts w:ascii="Times New Roman" w:hAnsi="Times New Roman" w:cs="Times New Roman"/>
          <w:b/>
          <w:bCs/>
          <w:color w:val="000000"/>
        </w:rPr>
        <w:t xml:space="preserve">plnenie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rozpočtu v členení podľa </w:t>
      </w:r>
      <w:proofErr w:type="spellStart"/>
      <w:r w:rsidR="00B55B24" w:rsidRPr="000750E4">
        <w:rPr>
          <w:rFonts w:ascii="Times New Roman" w:hAnsi="Times New Roman" w:cs="Times New Roman"/>
          <w:b/>
          <w:bCs/>
          <w:color w:val="000000"/>
        </w:rPr>
        <w:t>ust</w:t>
      </w:r>
      <w:proofErr w:type="spellEnd"/>
      <w:r w:rsidR="00B55B24" w:rsidRPr="000750E4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0750E4">
        <w:rPr>
          <w:rFonts w:ascii="Times New Roman" w:hAnsi="Times New Roman" w:cs="Times New Roman"/>
          <w:b/>
          <w:bCs/>
          <w:color w:val="000000"/>
        </w:rPr>
        <w:t>§ 10 odsek 3 zákona v súlade s rozpočtovou klas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ifikáciou,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>tvo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rba a použitie peňažných fondov,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>bilanci</w:t>
      </w:r>
      <w:r w:rsidR="005D1ED1" w:rsidRPr="000750E4">
        <w:rPr>
          <w:rFonts w:ascii="Times New Roman" w:hAnsi="Times New Roman" w:cs="Times New Roman"/>
          <w:b/>
          <w:bCs/>
          <w:color w:val="000000"/>
        </w:rPr>
        <w:t>a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 aktív a pasív,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>prehľad o stave a vývoji dlhu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údaje o hospodárení 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príspevkovej organizácie mesta,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>prehľad o poskytnutých dotáciách podľa § 7 ods. 4 zákona č. 583/2004 Z.z. v platnom znení</w:t>
      </w:r>
      <w:r w:rsidR="00CD5BB6" w:rsidRPr="000750E4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>finančné usporiadanie vzťahov</w:t>
      </w:r>
      <w:r w:rsidR="00AA0838" w:rsidRPr="000750E4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407D7" w:rsidRPr="000750E4" w:rsidRDefault="003407D7" w:rsidP="00DF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•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hodnotenie plnenia programov. </w:t>
      </w:r>
    </w:p>
    <w:p w:rsidR="003407D7" w:rsidRPr="000750E4" w:rsidRDefault="003407D7" w:rsidP="00DF5294">
      <w:pPr>
        <w:pStyle w:val="Default"/>
        <w:ind w:firstLine="709"/>
        <w:jc w:val="both"/>
        <w:rPr>
          <w:sz w:val="22"/>
          <w:szCs w:val="22"/>
        </w:rPr>
      </w:pPr>
    </w:p>
    <w:p w:rsidR="009078D9" w:rsidRPr="000750E4" w:rsidRDefault="00AA0838" w:rsidP="00DF5294">
      <w:pPr>
        <w:pStyle w:val="Default"/>
        <w:ind w:firstLine="709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Údaje o plnení rozpočtu boli spracované podľa rozpočtovej klasifikácie </w:t>
      </w:r>
      <w:r w:rsidR="0077345B" w:rsidRPr="000750E4">
        <w:rPr>
          <w:sz w:val="22"/>
          <w:szCs w:val="22"/>
        </w:rPr>
        <w:t xml:space="preserve">v súlade s Opatreniami </w:t>
      </w:r>
      <w:r w:rsidR="009078D9" w:rsidRPr="000750E4">
        <w:rPr>
          <w:sz w:val="22"/>
          <w:szCs w:val="22"/>
        </w:rPr>
        <w:t>MF</w:t>
      </w:r>
      <w:r w:rsidR="0077345B" w:rsidRPr="000750E4">
        <w:rPr>
          <w:sz w:val="22"/>
          <w:szCs w:val="22"/>
        </w:rPr>
        <w:t>, ktoré sú</w:t>
      </w:r>
      <w:r w:rsidR="00601275">
        <w:rPr>
          <w:sz w:val="22"/>
          <w:szCs w:val="22"/>
        </w:rPr>
        <w:t xml:space="preserve"> záväzné</w:t>
      </w:r>
      <w:r w:rsidR="009078D9" w:rsidRPr="000750E4">
        <w:rPr>
          <w:sz w:val="22"/>
          <w:szCs w:val="22"/>
        </w:rPr>
        <w:t xml:space="preserve"> pri zostavovaní rozpočtov územnej samosprávy. </w:t>
      </w:r>
      <w:r w:rsidRPr="000750E4">
        <w:rPr>
          <w:sz w:val="22"/>
          <w:szCs w:val="22"/>
        </w:rPr>
        <w:t>V súlade s týmito právnymi predpismi sa</w:t>
      </w:r>
      <w:r w:rsidR="009078D9" w:rsidRPr="000750E4">
        <w:rPr>
          <w:sz w:val="22"/>
          <w:szCs w:val="22"/>
        </w:rPr>
        <w:t xml:space="preserve"> jednotne určujú a triedia príjmy a výdavky rozpočtu vrátane ich vecného vymedzenia a finančné operácie s finančnými aktívami a pasívami. </w:t>
      </w:r>
    </w:p>
    <w:p w:rsidR="009078D9" w:rsidRPr="000750E4" w:rsidRDefault="009078D9" w:rsidP="00DF52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D0FF2" w:rsidRPr="000750E4" w:rsidRDefault="00AA0838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 xml:space="preserve">Mesto spracovalo a predložilo </w:t>
      </w:r>
      <w:r w:rsidR="005D1ED1" w:rsidRPr="000750E4">
        <w:rPr>
          <w:rFonts w:ascii="Times New Roman" w:hAnsi="Times New Roman" w:cs="Times New Roman"/>
        </w:rPr>
        <w:t xml:space="preserve">návrh </w:t>
      </w:r>
      <w:r w:rsidR="00601275">
        <w:rPr>
          <w:rFonts w:ascii="Times New Roman" w:hAnsi="Times New Roman" w:cs="Times New Roman"/>
        </w:rPr>
        <w:t>„</w:t>
      </w:r>
      <w:r w:rsidR="005D1ED1" w:rsidRPr="000750E4">
        <w:rPr>
          <w:rFonts w:ascii="Times New Roman" w:hAnsi="Times New Roman" w:cs="Times New Roman"/>
        </w:rPr>
        <w:t>Záverečného</w:t>
      </w:r>
      <w:r w:rsidRPr="000750E4">
        <w:rPr>
          <w:rFonts w:ascii="Times New Roman" w:hAnsi="Times New Roman" w:cs="Times New Roman"/>
        </w:rPr>
        <w:t xml:space="preserve"> účt</w:t>
      </w:r>
      <w:r w:rsidR="005D1ED1" w:rsidRPr="000750E4">
        <w:rPr>
          <w:rFonts w:ascii="Times New Roman" w:hAnsi="Times New Roman" w:cs="Times New Roman"/>
        </w:rPr>
        <w:t>u</w:t>
      </w:r>
      <w:r w:rsidR="00601275">
        <w:rPr>
          <w:rFonts w:ascii="Times New Roman" w:hAnsi="Times New Roman" w:cs="Times New Roman"/>
        </w:rPr>
        <w:t>“</w:t>
      </w:r>
      <w:r w:rsidRPr="000750E4">
        <w:rPr>
          <w:rFonts w:ascii="Times New Roman" w:hAnsi="Times New Roman" w:cs="Times New Roman"/>
        </w:rPr>
        <w:t xml:space="preserve"> v oblasti </w:t>
      </w:r>
      <w:r w:rsidR="00E00B19" w:rsidRPr="000750E4">
        <w:rPr>
          <w:rFonts w:ascii="Times New Roman" w:hAnsi="Times New Roman" w:cs="Times New Roman"/>
          <w:b/>
        </w:rPr>
        <w:t>plnenia</w:t>
      </w:r>
      <w:r w:rsidR="00C40B76" w:rsidRPr="000750E4">
        <w:rPr>
          <w:rFonts w:ascii="Times New Roman" w:hAnsi="Times New Roman" w:cs="Times New Roman"/>
          <w:b/>
        </w:rPr>
        <w:t xml:space="preserve"> </w:t>
      </w:r>
      <w:r w:rsidR="007F4F57" w:rsidRPr="000750E4">
        <w:rPr>
          <w:rFonts w:ascii="Times New Roman" w:hAnsi="Times New Roman" w:cs="Times New Roman"/>
          <w:b/>
        </w:rPr>
        <w:t xml:space="preserve">rozpočtu </w:t>
      </w:r>
      <w:r w:rsidR="00C40B76" w:rsidRPr="000750E4">
        <w:rPr>
          <w:rFonts w:ascii="Times New Roman" w:hAnsi="Times New Roman" w:cs="Times New Roman"/>
          <w:b/>
        </w:rPr>
        <w:t>príjmov podľa ekonomickej klasifikácie</w:t>
      </w:r>
      <w:r w:rsidR="00C40B76" w:rsidRPr="000750E4">
        <w:rPr>
          <w:rFonts w:ascii="Times New Roman" w:hAnsi="Times New Roman" w:cs="Times New Roman"/>
        </w:rPr>
        <w:t xml:space="preserve"> v tab. č 6 - str. 14; tab. č. 9 </w:t>
      </w:r>
      <w:r w:rsidR="00FE2B3C" w:rsidRPr="000750E4">
        <w:rPr>
          <w:rFonts w:ascii="Times New Roman" w:hAnsi="Times New Roman" w:cs="Times New Roman"/>
        </w:rPr>
        <w:t>–</w:t>
      </w:r>
      <w:r w:rsidR="00C40B76" w:rsidRPr="000750E4">
        <w:rPr>
          <w:rFonts w:ascii="Times New Roman" w:hAnsi="Times New Roman" w:cs="Times New Roman"/>
        </w:rPr>
        <w:t xml:space="preserve"> str</w:t>
      </w:r>
      <w:r w:rsidR="00FE2B3C" w:rsidRPr="000750E4">
        <w:rPr>
          <w:rFonts w:ascii="Times New Roman" w:hAnsi="Times New Roman" w:cs="Times New Roman"/>
        </w:rPr>
        <w:t>.</w:t>
      </w:r>
      <w:r w:rsidR="0077345B" w:rsidRPr="000750E4">
        <w:rPr>
          <w:rFonts w:ascii="Times New Roman" w:hAnsi="Times New Roman" w:cs="Times New Roman"/>
        </w:rPr>
        <w:t xml:space="preserve"> 16</w:t>
      </w:r>
      <w:r w:rsidR="00C40B76" w:rsidRPr="000750E4">
        <w:rPr>
          <w:rFonts w:ascii="Times New Roman" w:hAnsi="Times New Roman" w:cs="Times New Roman"/>
        </w:rPr>
        <w:t xml:space="preserve">; tab. č. 10 - </w:t>
      </w:r>
      <w:proofErr w:type="spellStart"/>
      <w:r w:rsidR="00C40B76" w:rsidRPr="000750E4">
        <w:rPr>
          <w:rFonts w:ascii="Times New Roman" w:hAnsi="Times New Roman" w:cs="Times New Roman"/>
        </w:rPr>
        <w:t>str</w:t>
      </w:r>
      <w:proofErr w:type="spellEnd"/>
      <w:r w:rsidR="00C40B76" w:rsidRPr="000750E4">
        <w:rPr>
          <w:rFonts w:ascii="Times New Roman" w:hAnsi="Times New Roman" w:cs="Times New Roman"/>
        </w:rPr>
        <w:t xml:space="preserve"> 18;  v oblasti </w:t>
      </w:r>
      <w:r w:rsidR="00C40B76" w:rsidRPr="000750E4">
        <w:rPr>
          <w:rFonts w:ascii="Times New Roman" w:hAnsi="Times New Roman" w:cs="Times New Roman"/>
          <w:b/>
        </w:rPr>
        <w:t>plnenia výdavkov podľa funkčnej klasifikácie a programovej štruktúry</w:t>
      </w:r>
      <w:r w:rsidR="00C40B76" w:rsidRPr="000750E4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tab. č.15 – str. 21;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16 – str. 2</w:t>
      </w:r>
      <w:r w:rsidR="001F6D6D">
        <w:rPr>
          <w:rFonts w:ascii="Times New Roman" w:hAnsi="Times New Roman" w:cs="Times New Roman"/>
        </w:rPr>
        <w:t>3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17 – str. 2</w:t>
      </w:r>
      <w:r w:rsidR="001F6D6D">
        <w:rPr>
          <w:rFonts w:ascii="Times New Roman" w:hAnsi="Times New Roman" w:cs="Times New Roman"/>
        </w:rPr>
        <w:t>6</w:t>
      </w:r>
      <w:r w:rsidR="00110C4E" w:rsidRPr="000750E4">
        <w:rPr>
          <w:rFonts w:ascii="Times New Roman" w:hAnsi="Times New Roman" w:cs="Times New Roman"/>
        </w:rPr>
        <w:t>;</w:t>
      </w:r>
      <w:r w:rsidR="00F14627">
        <w:rPr>
          <w:rFonts w:ascii="Times New Roman" w:hAnsi="Times New Roman" w:cs="Times New Roman"/>
        </w:rPr>
        <w:t xml:space="preserve"> tab.</w:t>
      </w:r>
      <w:r w:rsidR="00D57B06">
        <w:rPr>
          <w:rFonts w:ascii="Times New Roman" w:hAnsi="Times New Roman" w:cs="Times New Roman"/>
        </w:rPr>
        <w:t xml:space="preserve"> </w:t>
      </w:r>
      <w:r w:rsidR="000A295F" w:rsidRPr="000750E4">
        <w:rPr>
          <w:rFonts w:ascii="Times New Roman" w:hAnsi="Times New Roman" w:cs="Times New Roman"/>
        </w:rPr>
        <w:t>č. 18 – str. 2</w:t>
      </w:r>
      <w:r w:rsidR="001F6D6D">
        <w:rPr>
          <w:rFonts w:ascii="Times New Roman" w:hAnsi="Times New Roman" w:cs="Times New Roman"/>
        </w:rPr>
        <w:t>8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19 – str. 2</w:t>
      </w:r>
      <w:r w:rsidR="001F6D6D">
        <w:rPr>
          <w:rFonts w:ascii="Times New Roman" w:hAnsi="Times New Roman" w:cs="Times New Roman"/>
        </w:rPr>
        <w:t>9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 xml:space="preserve">č. 20 – str. </w:t>
      </w:r>
      <w:r w:rsidR="001F6D6D">
        <w:rPr>
          <w:rFonts w:ascii="Times New Roman" w:hAnsi="Times New Roman" w:cs="Times New Roman"/>
        </w:rPr>
        <w:t>30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 xml:space="preserve">č. 21 – str. </w:t>
      </w:r>
      <w:r w:rsidR="001F6D6D">
        <w:rPr>
          <w:rFonts w:ascii="Times New Roman" w:hAnsi="Times New Roman" w:cs="Times New Roman"/>
        </w:rPr>
        <w:lastRenderedPageBreak/>
        <w:t>3</w:t>
      </w:r>
      <w:r w:rsidR="00C235E8">
        <w:rPr>
          <w:rFonts w:ascii="Times New Roman" w:hAnsi="Times New Roman" w:cs="Times New Roman"/>
        </w:rPr>
        <w:t>1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22 – str</w:t>
      </w:r>
      <w:r w:rsidR="000A295F" w:rsidRPr="000750E4">
        <w:rPr>
          <w:rFonts w:ascii="Times New Roman" w:hAnsi="Times New Roman" w:cs="Times New Roman"/>
        </w:rPr>
        <w:t>.3</w:t>
      </w:r>
      <w:r w:rsidR="001F6D6D">
        <w:rPr>
          <w:rFonts w:ascii="Times New Roman" w:hAnsi="Times New Roman" w:cs="Times New Roman"/>
        </w:rPr>
        <w:t>2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23 – str</w:t>
      </w:r>
      <w:r w:rsidR="000A295F" w:rsidRPr="000750E4">
        <w:rPr>
          <w:rFonts w:ascii="Times New Roman" w:hAnsi="Times New Roman" w:cs="Times New Roman"/>
        </w:rPr>
        <w:t>.3</w:t>
      </w:r>
      <w:r w:rsidR="001F6D6D">
        <w:rPr>
          <w:rFonts w:ascii="Times New Roman" w:hAnsi="Times New Roman" w:cs="Times New Roman"/>
        </w:rPr>
        <w:t>3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24 – str.3</w:t>
      </w:r>
      <w:r w:rsidR="00C235E8">
        <w:rPr>
          <w:rFonts w:ascii="Times New Roman" w:hAnsi="Times New Roman" w:cs="Times New Roman"/>
        </w:rPr>
        <w:t>5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25 – str.3</w:t>
      </w:r>
      <w:r w:rsidR="00C235E8">
        <w:rPr>
          <w:rFonts w:ascii="Times New Roman" w:hAnsi="Times New Roman" w:cs="Times New Roman"/>
        </w:rPr>
        <w:t>6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2</w:t>
      </w:r>
      <w:r w:rsidR="001F6D6D">
        <w:rPr>
          <w:rFonts w:ascii="Times New Roman" w:hAnsi="Times New Roman" w:cs="Times New Roman"/>
        </w:rPr>
        <w:t>6</w:t>
      </w:r>
      <w:r w:rsidR="00110C4E" w:rsidRPr="000750E4">
        <w:rPr>
          <w:rFonts w:ascii="Times New Roman" w:hAnsi="Times New Roman" w:cs="Times New Roman"/>
        </w:rPr>
        <w:t xml:space="preserve"> – str.3</w:t>
      </w:r>
      <w:r w:rsidR="00C235E8">
        <w:rPr>
          <w:rFonts w:ascii="Times New Roman" w:hAnsi="Times New Roman" w:cs="Times New Roman"/>
        </w:rPr>
        <w:t>7</w:t>
      </w:r>
      <w:r w:rsidR="00F14627">
        <w:rPr>
          <w:rFonts w:ascii="Times New Roman" w:hAnsi="Times New Roman" w:cs="Times New Roman"/>
        </w:rPr>
        <w:t>; tab.</w:t>
      </w:r>
      <w:r w:rsidR="00D57B06">
        <w:rPr>
          <w:rFonts w:ascii="Times New Roman" w:hAnsi="Times New Roman" w:cs="Times New Roman"/>
        </w:rPr>
        <w:t xml:space="preserve"> </w:t>
      </w:r>
      <w:r w:rsidR="001F6D6D">
        <w:rPr>
          <w:rFonts w:ascii="Times New Roman" w:hAnsi="Times New Roman" w:cs="Times New Roman"/>
        </w:rPr>
        <w:t>č. 30</w:t>
      </w:r>
      <w:r w:rsidR="00110C4E" w:rsidRPr="000750E4">
        <w:rPr>
          <w:rFonts w:ascii="Times New Roman" w:hAnsi="Times New Roman" w:cs="Times New Roman"/>
        </w:rPr>
        <w:t xml:space="preserve"> – str.</w:t>
      </w:r>
      <w:r w:rsidR="00C235E8">
        <w:rPr>
          <w:rFonts w:ascii="Times New Roman" w:hAnsi="Times New Roman" w:cs="Times New Roman"/>
        </w:rPr>
        <w:t>40</w:t>
      </w:r>
      <w:r w:rsidR="00110C4E" w:rsidRPr="000750E4">
        <w:rPr>
          <w:rFonts w:ascii="Times New Roman" w:hAnsi="Times New Roman" w:cs="Times New Roman"/>
        </w:rPr>
        <w:t xml:space="preserve">;  </w:t>
      </w:r>
      <w:r w:rsidR="00F14627">
        <w:rPr>
          <w:rFonts w:ascii="Times New Roman" w:hAnsi="Times New Roman" w:cs="Times New Roman"/>
        </w:rPr>
        <w:t>tab.</w:t>
      </w:r>
      <w:r w:rsidR="00D57B06">
        <w:rPr>
          <w:rFonts w:ascii="Times New Roman" w:hAnsi="Times New Roman" w:cs="Times New Roman"/>
        </w:rPr>
        <w:t xml:space="preserve"> </w:t>
      </w:r>
      <w:r w:rsidR="0077345B" w:rsidRPr="000750E4">
        <w:rPr>
          <w:rFonts w:ascii="Times New Roman" w:hAnsi="Times New Roman" w:cs="Times New Roman"/>
        </w:rPr>
        <w:t>č. 3</w:t>
      </w:r>
      <w:r w:rsidR="001F6D6D">
        <w:rPr>
          <w:rFonts w:ascii="Times New Roman" w:hAnsi="Times New Roman" w:cs="Times New Roman"/>
        </w:rPr>
        <w:t>1</w:t>
      </w:r>
      <w:r w:rsidR="0077345B" w:rsidRPr="000750E4">
        <w:rPr>
          <w:rFonts w:ascii="Times New Roman" w:hAnsi="Times New Roman" w:cs="Times New Roman"/>
        </w:rPr>
        <w:t xml:space="preserve"> – str.4</w:t>
      </w:r>
      <w:r w:rsidR="00C235E8">
        <w:rPr>
          <w:rFonts w:ascii="Times New Roman" w:hAnsi="Times New Roman" w:cs="Times New Roman"/>
        </w:rPr>
        <w:t>2</w:t>
      </w:r>
      <w:r w:rsidR="0077345B" w:rsidRPr="000750E4">
        <w:rPr>
          <w:rFonts w:ascii="Times New Roman" w:hAnsi="Times New Roman" w:cs="Times New Roman"/>
        </w:rPr>
        <w:t xml:space="preserve">;  </w:t>
      </w:r>
      <w:r w:rsidR="00F14627">
        <w:rPr>
          <w:rFonts w:ascii="Times New Roman" w:hAnsi="Times New Roman" w:cs="Times New Roman"/>
        </w:rPr>
        <w:t>tab.</w:t>
      </w:r>
      <w:r w:rsidR="00D57B06">
        <w:rPr>
          <w:rFonts w:ascii="Times New Roman" w:hAnsi="Times New Roman" w:cs="Times New Roman"/>
        </w:rPr>
        <w:t xml:space="preserve"> </w:t>
      </w:r>
      <w:r w:rsidR="00110C4E" w:rsidRPr="000750E4">
        <w:rPr>
          <w:rFonts w:ascii="Times New Roman" w:hAnsi="Times New Roman" w:cs="Times New Roman"/>
        </w:rPr>
        <w:t>č. 3</w:t>
      </w:r>
      <w:r w:rsidR="001F6D6D">
        <w:rPr>
          <w:rFonts w:ascii="Times New Roman" w:hAnsi="Times New Roman" w:cs="Times New Roman"/>
        </w:rPr>
        <w:t>5</w:t>
      </w:r>
      <w:r w:rsidR="00110C4E" w:rsidRPr="000750E4">
        <w:rPr>
          <w:rFonts w:ascii="Times New Roman" w:hAnsi="Times New Roman" w:cs="Times New Roman"/>
        </w:rPr>
        <w:t xml:space="preserve"> – str. </w:t>
      </w:r>
      <w:r w:rsidR="0077345B" w:rsidRPr="000750E4">
        <w:rPr>
          <w:rFonts w:ascii="Times New Roman" w:hAnsi="Times New Roman" w:cs="Times New Roman"/>
        </w:rPr>
        <w:t>4</w:t>
      </w:r>
      <w:r w:rsidR="00C235E8">
        <w:rPr>
          <w:rFonts w:ascii="Times New Roman" w:hAnsi="Times New Roman" w:cs="Times New Roman"/>
        </w:rPr>
        <w:t>5</w:t>
      </w:r>
      <w:r w:rsidR="00110C4E" w:rsidRPr="000750E4">
        <w:rPr>
          <w:rFonts w:ascii="Times New Roman" w:hAnsi="Times New Roman" w:cs="Times New Roman"/>
        </w:rPr>
        <w:t xml:space="preserve">; </w:t>
      </w:r>
      <w:r w:rsidR="005D0FF2" w:rsidRPr="000750E4">
        <w:rPr>
          <w:rFonts w:ascii="Times New Roman" w:hAnsi="Times New Roman" w:cs="Times New Roman"/>
        </w:rPr>
        <w:t>tab. č. 3</w:t>
      </w:r>
      <w:r w:rsidR="001F6D6D">
        <w:rPr>
          <w:rFonts w:ascii="Times New Roman" w:hAnsi="Times New Roman" w:cs="Times New Roman"/>
        </w:rPr>
        <w:t>6</w:t>
      </w:r>
      <w:r w:rsidR="005D0FF2" w:rsidRPr="000750E4">
        <w:rPr>
          <w:rFonts w:ascii="Times New Roman" w:hAnsi="Times New Roman" w:cs="Times New Roman"/>
        </w:rPr>
        <w:t xml:space="preserve"> – str. 4</w:t>
      </w:r>
      <w:r w:rsidR="00C235E8">
        <w:rPr>
          <w:rFonts w:ascii="Times New Roman" w:hAnsi="Times New Roman" w:cs="Times New Roman"/>
        </w:rPr>
        <w:t>7</w:t>
      </w:r>
      <w:r w:rsidR="005D0FF2" w:rsidRPr="000750E4">
        <w:rPr>
          <w:rFonts w:ascii="Times New Roman" w:hAnsi="Times New Roman" w:cs="Times New Roman"/>
        </w:rPr>
        <w:t>;</w:t>
      </w:r>
      <w:r w:rsidR="00110C4E" w:rsidRPr="000750E4">
        <w:rPr>
          <w:rFonts w:ascii="Times New Roman" w:hAnsi="Times New Roman" w:cs="Times New Roman"/>
        </w:rPr>
        <w:t xml:space="preserve"> </w:t>
      </w:r>
    </w:p>
    <w:p w:rsidR="00B22BC5" w:rsidRPr="000750E4" w:rsidRDefault="00B22BC5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A0838" w:rsidRPr="000750E4" w:rsidRDefault="007F4F57" w:rsidP="00DF52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Hodnotenie plnenia programov obsahuje</w:t>
      </w:r>
      <w:r w:rsidR="00B07064" w:rsidRPr="000750E4">
        <w:rPr>
          <w:rFonts w:ascii="Times New Roman" w:hAnsi="Times New Roman" w:cs="Times New Roman"/>
        </w:rPr>
        <w:t xml:space="preserve"> textové</w:t>
      </w:r>
      <w:r w:rsidRPr="000750E4">
        <w:rPr>
          <w:rFonts w:ascii="Times New Roman" w:hAnsi="Times New Roman" w:cs="Times New Roman"/>
        </w:rPr>
        <w:t xml:space="preserve"> </w:t>
      </w:r>
      <w:r w:rsidR="0077345B" w:rsidRPr="000750E4">
        <w:rPr>
          <w:rFonts w:ascii="Times New Roman" w:hAnsi="Times New Roman" w:cs="Times New Roman"/>
          <w:b/>
        </w:rPr>
        <w:t>z</w:t>
      </w:r>
      <w:r w:rsidRPr="000750E4">
        <w:rPr>
          <w:rFonts w:ascii="Times New Roman" w:hAnsi="Times New Roman" w:cs="Times New Roman"/>
          <w:b/>
        </w:rPr>
        <w:t>hodnotenie</w:t>
      </w:r>
      <w:r w:rsidR="00B07064" w:rsidRPr="000750E4">
        <w:rPr>
          <w:rFonts w:ascii="Times New Roman" w:hAnsi="Times New Roman" w:cs="Times New Roman"/>
          <w:b/>
        </w:rPr>
        <w:t xml:space="preserve"> (</w:t>
      </w:r>
      <w:r w:rsidR="00CF247F">
        <w:rPr>
          <w:rFonts w:ascii="Times New Roman" w:hAnsi="Times New Roman" w:cs="Times New Roman"/>
          <w:b/>
        </w:rPr>
        <w:t>možné nazvať aj tzv.</w:t>
      </w:r>
      <w:r w:rsidR="00717C85">
        <w:rPr>
          <w:rFonts w:ascii="Times New Roman" w:hAnsi="Times New Roman" w:cs="Times New Roman"/>
          <w:b/>
        </w:rPr>
        <w:t xml:space="preserve"> </w:t>
      </w:r>
      <w:r w:rsidR="00B07064" w:rsidRPr="000750E4">
        <w:rPr>
          <w:rFonts w:ascii="Times New Roman" w:hAnsi="Times New Roman" w:cs="Times New Roman"/>
          <w:b/>
        </w:rPr>
        <w:t>sebahodnotenie</w:t>
      </w:r>
      <w:r w:rsidR="001F6D6D">
        <w:rPr>
          <w:rFonts w:ascii="Times New Roman" w:hAnsi="Times New Roman" w:cs="Times New Roman"/>
          <w:b/>
        </w:rPr>
        <w:t xml:space="preserve"> autora</w:t>
      </w:r>
      <w:r w:rsidR="00B07064" w:rsidRPr="000750E4">
        <w:rPr>
          <w:rFonts w:ascii="Times New Roman" w:hAnsi="Times New Roman" w:cs="Times New Roman"/>
          <w:b/>
        </w:rPr>
        <w:t>)</w:t>
      </w:r>
      <w:r w:rsidR="001F6D6D">
        <w:rPr>
          <w:rFonts w:ascii="Times New Roman" w:hAnsi="Times New Roman" w:cs="Times New Roman"/>
          <w:b/>
        </w:rPr>
        <w:t xml:space="preserve"> </w:t>
      </w:r>
      <w:r w:rsidRPr="000750E4">
        <w:rPr>
          <w:rFonts w:ascii="Times New Roman" w:hAnsi="Times New Roman" w:cs="Times New Roman"/>
          <w:b/>
        </w:rPr>
        <w:t>plneni</w:t>
      </w:r>
      <w:r w:rsidR="00B07064" w:rsidRPr="000750E4">
        <w:rPr>
          <w:rFonts w:ascii="Times New Roman" w:hAnsi="Times New Roman" w:cs="Times New Roman"/>
          <w:b/>
        </w:rPr>
        <w:t>a</w:t>
      </w:r>
      <w:r w:rsidRPr="000750E4">
        <w:rPr>
          <w:rFonts w:ascii="Times New Roman" w:hAnsi="Times New Roman" w:cs="Times New Roman"/>
          <w:b/>
        </w:rPr>
        <w:t xml:space="preserve"> zámerov a</w:t>
      </w:r>
      <w:r w:rsidR="00B07064" w:rsidRPr="000750E4">
        <w:rPr>
          <w:rFonts w:ascii="Times New Roman" w:hAnsi="Times New Roman" w:cs="Times New Roman"/>
          <w:b/>
        </w:rPr>
        <w:t> </w:t>
      </w:r>
      <w:r w:rsidRPr="000750E4">
        <w:rPr>
          <w:rFonts w:ascii="Times New Roman" w:hAnsi="Times New Roman" w:cs="Times New Roman"/>
          <w:b/>
        </w:rPr>
        <w:t>cieľov</w:t>
      </w:r>
      <w:r w:rsidR="00B07064" w:rsidRPr="000750E4">
        <w:rPr>
          <w:rFonts w:ascii="Times New Roman" w:hAnsi="Times New Roman" w:cs="Times New Roman"/>
          <w:b/>
        </w:rPr>
        <w:t xml:space="preserve"> s doplnením ekonomických či štatistických </w:t>
      </w:r>
      <w:proofErr w:type="spellStart"/>
      <w:r w:rsidR="00B07064" w:rsidRPr="000750E4">
        <w:rPr>
          <w:rFonts w:ascii="Times New Roman" w:hAnsi="Times New Roman" w:cs="Times New Roman"/>
          <w:b/>
        </w:rPr>
        <w:t>sub_hodnotení</w:t>
      </w:r>
      <w:proofErr w:type="spellEnd"/>
      <w:r w:rsidR="00B07064" w:rsidRPr="000750E4">
        <w:rPr>
          <w:rFonts w:ascii="Times New Roman" w:hAnsi="Times New Roman" w:cs="Times New Roman"/>
          <w:b/>
        </w:rPr>
        <w:t xml:space="preserve"> parametrov</w:t>
      </w:r>
      <w:r w:rsidRPr="000750E4">
        <w:rPr>
          <w:rFonts w:ascii="Times New Roman" w:hAnsi="Times New Roman" w:cs="Times New Roman"/>
        </w:rPr>
        <w:t xml:space="preserve">. </w:t>
      </w:r>
    </w:p>
    <w:p w:rsidR="009078D9" w:rsidRPr="000750E4" w:rsidRDefault="009078D9" w:rsidP="00DF5294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936DA" w:rsidRDefault="00E24A8E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 xml:space="preserve">II. </w:t>
      </w:r>
      <w:r w:rsidR="00976DBA">
        <w:rPr>
          <w:b/>
          <w:iCs/>
          <w:smallCaps/>
          <w:sz w:val="26"/>
          <w:szCs w:val="26"/>
        </w:rPr>
        <w:t xml:space="preserve">Zostavenie </w:t>
      </w:r>
      <w:r w:rsidR="001936DA" w:rsidRPr="001936DA">
        <w:rPr>
          <w:b/>
          <w:iCs/>
          <w:smallCaps/>
          <w:sz w:val="26"/>
          <w:szCs w:val="26"/>
        </w:rPr>
        <w:t xml:space="preserve">záverečného účtu </w:t>
      </w:r>
    </w:p>
    <w:p w:rsidR="00976DBA" w:rsidRDefault="00976DBA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DF5294" w:rsidRPr="000750E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Mesto </w:t>
      </w:r>
      <w:r w:rsidR="00976DBA" w:rsidRPr="000750E4">
        <w:rPr>
          <w:rFonts w:ascii="Times New Roman" w:hAnsi="Times New Roman" w:cs="Times New Roman"/>
          <w:color w:val="000000"/>
        </w:rPr>
        <w:t xml:space="preserve">pri zostavení návrhu </w:t>
      </w:r>
      <w:r w:rsidR="00D57B06">
        <w:rPr>
          <w:rFonts w:ascii="Times New Roman" w:hAnsi="Times New Roman" w:cs="Times New Roman"/>
          <w:color w:val="000000"/>
        </w:rPr>
        <w:t>„</w:t>
      </w:r>
      <w:r w:rsidR="00976DBA" w:rsidRPr="000750E4">
        <w:rPr>
          <w:rFonts w:ascii="Times New Roman" w:hAnsi="Times New Roman" w:cs="Times New Roman"/>
          <w:color w:val="000000"/>
        </w:rPr>
        <w:t>Záverečného účtu</w:t>
      </w:r>
      <w:r w:rsidR="00D57B06">
        <w:rPr>
          <w:rFonts w:ascii="Times New Roman" w:hAnsi="Times New Roman" w:cs="Times New Roman"/>
          <w:color w:val="000000"/>
        </w:rPr>
        <w:t>“</w:t>
      </w:r>
      <w:r w:rsidR="00976DBA" w:rsidRPr="000750E4">
        <w:rPr>
          <w:rFonts w:ascii="Times New Roman" w:hAnsi="Times New Roman" w:cs="Times New Roman"/>
          <w:color w:val="000000"/>
        </w:rPr>
        <w:t xml:space="preserve"> </w:t>
      </w:r>
      <w:r w:rsidRPr="000750E4">
        <w:rPr>
          <w:rFonts w:ascii="Times New Roman" w:hAnsi="Times New Roman" w:cs="Times New Roman"/>
          <w:color w:val="000000"/>
        </w:rPr>
        <w:t xml:space="preserve">postupovalo podľa </w:t>
      </w:r>
      <w:proofErr w:type="spellStart"/>
      <w:r w:rsidRPr="000750E4">
        <w:rPr>
          <w:rFonts w:ascii="Times New Roman" w:hAnsi="Times New Roman" w:cs="Times New Roman"/>
          <w:color w:val="000000"/>
        </w:rPr>
        <w:t>ust</w:t>
      </w:r>
      <w:proofErr w:type="spellEnd"/>
      <w:r w:rsidR="00976DBA" w:rsidRPr="000750E4">
        <w:rPr>
          <w:rFonts w:ascii="Times New Roman" w:hAnsi="Times New Roman" w:cs="Times New Roman"/>
          <w:color w:val="000000"/>
        </w:rPr>
        <w:t>.</w:t>
      </w:r>
      <w:r w:rsidRPr="000750E4">
        <w:rPr>
          <w:rFonts w:ascii="Times New Roman" w:hAnsi="Times New Roman" w:cs="Times New Roman"/>
          <w:color w:val="000000"/>
        </w:rPr>
        <w:t xml:space="preserve"> § 16 ods. 1 </w:t>
      </w:r>
      <w:r w:rsidR="00976DBA" w:rsidRPr="000750E4">
        <w:rPr>
          <w:rFonts w:ascii="Times New Roman" w:hAnsi="Times New Roman" w:cs="Times New Roman"/>
        </w:rPr>
        <w:t xml:space="preserve">zákona č. 583/2004 Z.z. </w:t>
      </w:r>
      <w:r w:rsidRPr="000750E4">
        <w:rPr>
          <w:rFonts w:ascii="Times New Roman" w:hAnsi="Times New Roman" w:cs="Times New Roman"/>
          <w:color w:val="000000"/>
        </w:rPr>
        <w:t xml:space="preserve">a po skončení rozpočtového roka údaje o rozpočtovom hospodárení súhrnne spracovalo do </w:t>
      </w:r>
      <w:r w:rsidR="00976DBA" w:rsidRPr="000750E4">
        <w:rPr>
          <w:rFonts w:ascii="Times New Roman" w:hAnsi="Times New Roman" w:cs="Times New Roman"/>
          <w:color w:val="000000"/>
        </w:rPr>
        <w:t xml:space="preserve">návrhu </w:t>
      </w:r>
      <w:r w:rsidR="00D57B06">
        <w:rPr>
          <w:rFonts w:ascii="Times New Roman" w:hAnsi="Times New Roman" w:cs="Times New Roman"/>
          <w:color w:val="000000"/>
        </w:rPr>
        <w:t>„</w:t>
      </w:r>
      <w:r w:rsidR="00976DBA" w:rsidRPr="000750E4">
        <w:rPr>
          <w:rFonts w:ascii="Times New Roman" w:hAnsi="Times New Roman" w:cs="Times New Roman"/>
          <w:color w:val="000000"/>
        </w:rPr>
        <w:t>Zá</w:t>
      </w:r>
      <w:r w:rsidRPr="000750E4">
        <w:rPr>
          <w:rFonts w:ascii="Times New Roman" w:hAnsi="Times New Roman" w:cs="Times New Roman"/>
          <w:color w:val="000000"/>
        </w:rPr>
        <w:t>verečného účtu</w:t>
      </w:r>
      <w:r w:rsidR="00D57B06">
        <w:rPr>
          <w:rFonts w:ascii="Times New Roman" w:hAnsi="Times New Roman" w:cs="Times New Roman"/>
          <w:color w:val="000000"/>
        </w:rPr>
        <w:t>“</w:t>
      </w:r>
      <w:r w:rsidR="00976DBA" w:rsidRPr="000750E4">
        <w:rPr>
          <w:rFonts w:ascii="Times New Roman" w:hAnsi="Times New Roman" w:cs="Times New Roman"/>
          <w:color w:val="000000"/>
        </w:rPr>
        <w:t xml:space="preserve">. </w:t>
      </w:r>
      <w:r w:rsidRPr="000750E4">
        <w:rPr>
          <w:rFonts w:ascii="Times New Roman" w:hAnsi="Times New Roman" w:cs="Times New Roman"/>
          <w:color w:val="000000"/>
        </w:rPr>
        <w:t>V súlade s</w:t>
      </w:r>
      <w:r w:rsidR="00976DBA" w:rsidRPr="000750E4">
        <w:rPr>
          <w:rFonts w:ascii="Times New Roman" w:hAnsi="Times New Roman" w:cs="Times New Roman"/>
          <w:color w:val="000000"/>
        </w:rPr>
        <w:t> </w:t>
      </w:r>
      <w:proofErr w:type="spellStart"/>
      <w:r w:rsidRPr="000750E4">
        <w:rPr>
          <w:rFonts w:ascii="Times New Roman" w:hAnsi="Times New Roman" w:cs="Times New Roman"/>
          <w:color w:val="000000"/>
        </w:rPr>
        <w:t>ust</w:t>
      </w:r>
      <w:proofErr w:type="spellEnd"/>
      <w:r w:rsidR="00976DBA" w:rsidRPr="000750E4">
        <w:rPr>
          <w:rFonts w:ascii="Times New Roman" w:hAnsi="Times New Roman" w:cs="Times New Roman"/>
          <w:color w:val="000000"/>
        </w:rPr>
        <w:t xml:space="preserve">. </w:t>
      </w:r>
      <w:r w:rsidRPr="000750E4">
        <w:rPr>
          <w:rFonts w:ascii="Times New Roman" w:hAnsi="Times New Roman" w:cs="Times New Roman"/>
          <w:color w:val="000000"/>
        </w:rPr>
        <w:t xml:space="preserve">§ 16 ods. 2 </w:t>
      </w:r>
      <w:r w:rsidR="00976DBA" w:rsidRPr="000750E4">
        <w:rPr>
          <w:rFonts w:ascii="Times New Roman" w:hAnsi="Times New Roman" w:cs="Times New Roman"/>
        </w:rPr>
        <w:t xml:space="preserve">zákona č. 583/2004 Z.z. </w:t>
      </w:r>
      <w:r w:rsidRPr="000750E4">
        <w:rPr>
          <w:rFonts w:ascii="Times New Roman" w:hAnsi="Times New Roman" w:cs="Times New Roman"/>
          <w:color w:val="000000"/>
        </w:rPr>
        <w:t>finančne usporiadalo svoje hospodárenie vrátane finančných vzťahov k zriadeným alebo založeným právnickým osobám a fyzickým osobám - podnikateľom a právnickým osobám, ktorým poskytlo prostriedky svojho rozpočtu; ďalej usporiadalo fina</w:t>
      </w:r>
      <w:r w:rsidR="00976DBA" w:rsidRPr="000750E4">
        <w:rPr>
          <w:rFonts w:ascii="Times New Roman" w:hAnsi="Times New Roman" w:cs="Times New Roman"/>
          <w:color w:val="000000"/>
        </w:rPr>
        <w:t xml:space="preserve">nčné vzťahy k štátnemu rozpočtu, štátnym fondom, rozpočtom iných obcí a k rozpočtom vyšších územných celkov. </w:t>
      </w:r>
      <w:r w:rsidRPr="000750E4">
        <w:rPr>
          <w:rFonts w:ascii="Times New Roman" w:hAnsi="Times New Roman" w:cs="Times New Roman"/>
          <w:color w:val="000000"/>
        </w:rPr>
        <w:t xml:space="preserve"> </w:t>
      </w:r>
    </w:p>
    <w:p w:rsidR="00DF5294" w:rsidRPr="000750E4" w:rsidRDefault="00DF5294" w:rsidP="00DF5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BD0F76" w:rsidRPr="000750E4" w:rsidRDefault="00DF5294" w:rsidP="00DF5294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>Údaje o nákladoch a výnosoch podnikateľskej činnosti záverečný účet neobsahuje, nakoľko mesto podnikateľskú činnosť v roku 201</w:t>
      </w:r>
      <w:r w:rsidR="0006160D">
        <w:rPr>
          <w:sz w:val="22"/>
          <w:szCs w:val="22"/>
        </w:rPr>
        <w:t>9</w:t>
      </w:r>
      <w:r w:rsidRPr="000750E4">
        <w:rPr>
          <w:sz w:val="22"/>
          <w:szCs w:val="22"/>
        </w:rPr>
        <w:t xml:space="preserve"> nevykazovalo.</w:t>
      </w:r>
    </w:p>
    <w:p w:rsidR="00172D5A" w:rsidRPr="000750E4" w:rsidRDefault="00172D5A" w:rsidP="00DF5294">
      <w:pPr>
        <w:pStyle w:val="Default"/>
        <w:ind w:firstLine="708"/>
        <w:jc w:val="both"/>
        <w:rPr>
          <w:sz w:val="22"/>
          <w:szCs w:val="22"/>
        </w:rPr>
      </w:pPr>
    </w:p>
    <w:p w:rsidR="00976DBA" w:rsidRPr="000750E4" w:rsidRDefault="00976DBA" w:rsidP="00976DB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Vykázaný výsledok hospodárenia bol zistený v súlade s</w:t>
      </w:r>
      <w:r w:rsidR="00926386">
        <w:rPr>
          <w:rFonts w:ascii="Times New Roman" w:hAnsi="Times New Roman" w:cs="Times New Roman"/>
        </w:rPr>
        <w:t> </w:t>
      </w:r>
      <w:proofErr w:type="spellStart"/>
      <w:r w:rsidRPr="000750E4">
        <w:rPr>
          <w:rFonts w:ascii="Times New Roman" w:hAnsi="Times New Roman" w:cs="Times New Roman"/>
        </w:rPr>
        <w:t>ust</w:t>
      </w:r>
      <w:proofErr w:type="spellEnd"/>
      <w:r w:rsidR="00926386">
        <w:rPr>
          <w:rFonts w:ascii="Times New Roman" w:hAnsi="Times New Roman" w:cs="Times New Roman"/>
        </w:rPr>
        <w:t>.</w:t>
      </w:r>
      <w:r w:rsidRPr="000750E4">
        <w:rPr>
          <w:rFonts w:ascii="Times New Roman" w:hAnsi="Times New Roman" w:cs="Times New Roman"/>
        </w:rPr>
        <w:t xml:space="preserve"> § 2 písm. b) a c) a </w:t>
      </w:r>
      <w:proofErr w:type="spellStart"/>
      <w:r w:rsidRPr="000750E4">
        <w:rPr>
          <w:rFonts w:ascii="Times New Roman" w:hAnsi="Times New Roman" w:cs="Times New Roman"/>
        </w:rPr>
        <w:t>ust</w:t>
      </w:r>
      <w:proofErr w:type="spellEnd"/>
      <w:r w:rsidRPr="000750E4">
        <w:rPr>
          <w:rFonts w:ascii="Times New Roman" w:hAnsi="Times New Roman" w:cs="Times New Roman"/>
        </w:rPr>
        <w:t>. § 10 ods. 3 písm. a) a b) zákona č. 583/2004 Z.z.. Návrh o použití prebytku rozpoč</w:t>
      </w:r>
      <w:r w:rsidR="00926386">
        <w:rPr>
          <w:rFonts w:ascii="Times New Roman" w:hAnsi="Times New Roman" w:cs="Times New Roman"/>
        </w:rPr>
        <w:t>tu je spracovaný v súlade s </w:t>
      </w:r>
      <w:proofErr w:type="spellStart"/>
      <w:r w:rsidR="00926386">
        <w:rPr>
          <w:rFonts w:ascii="Times New Roman" w:hAnsi="Times New Roman" w:cs="Times New Roman"/>
        </w:rPr>
        <w:t>ust</w:t>
      </w:r>
      <w:proofErr w:type="spellEnd"/>
      <w:r w:rsidR="00926386">
        <w:rPr>
          <w:rFonts w:ascii="Times New Roman" w:hAnsi="Times New Roman" w:cs="Times New Roman"/>
        </w:rPr>
        <w:t>.</w:t>
      </w:r>
      <w:r w:rsidRPr="000750E4">
        <w:rPr>
          <w:rFonts w:ascii="Times New Roman" w:hAnsi="Times New Roman" w:cs="Times New Roman"/>
        </w:rPr>
        <w:t xml:space="preserve"> § 16 ods. 6 a 8 zákona č. 583/2004 Z.z.</w:t>
      </w:r>
    </w:p>
    <w:p w:rsidR="00976DBA" w:rsidRPr="000750E4" w:rsidRDefault="00976DBA" w:rsidP="00976DBA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72D5A" w:rsidRDefault="00172D5A" w:rsidP="00DF5294">
      <w:pPr>
        <w:pStyle w:val="Default"/>
        <w:ind w:firstLine="708"/>
        <w:jc w:val="both"/>
        <w:rPr>
          <w:sz w:val="23"/>
          <w:szCs w:val="23"/>
        </w:rPr>
      </w:pPr>
    </w:p>
    <w:p w:rsidR="00B460AE" w:rsidRPr="00B460AE" w:rsidRDefault="001936DA" w:rsidP="00B4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</w:pPr>
      <w:r w:rsidRPr="00B460AE">
        <w:rPr>
          <w:rFonts w:ascii="Times New Roman" w:hAnsi="Times New Roman" w:cs="Times New Roman"/>
          <w:b/>
          <w:iCs/>
          <w:smallCaps/>
          <w:sz w:val="26"/>
          <w:szCs w:val="26"/>
        </w:rPr>
        <w:t xml:space="preserve">Rozpočtové hospodárenie </w:t>
      </w:r>
      <w:r w:rsidR="00B460AE" w:rsidRPr="00B460AE">
        <w:rPr>
          <w:rFonts w:ascii="Times New Roman" w:hAnsi="Times New Roman" w:cs="Times New Roman"/>
          <w:b/>
          <w:iCs/>
          <w:smallCaps/>
          <w:sz w:val="26"/>
          <w:szCs w:val="26"/>
        </w:rPr>
        <w:t xml:space="preserve">a </w:t>
      </w:r>
      <w:r w:rsidR="00B460AE"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  <w:t>r</w:t>
      </w:r>
      <w:r w:rsidR="00B460AE" w:rsidRPr="00B460AE"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  <w:t>ozpočet Mesta Stará Ľubovňa v roku 201</w:t>
      </w:r>
      <w:r w:rsidR="00CF247F">
        <w:rPr>
          <w:rFonts w:ascii="Times New Roman" w:eastAsia="Times New Roman" w:hAnsi="Times New Roman" w:cs="Times New Roman"/>
          <w:b/>
          <w:smallCaps/>
          <w:sz w:val="26"/>
          <w:szCs w:val="26"/>
          <w:lang w:eastAsia="sk-SK"/>
        </w:rPr>
        <w:t>9</w:t>
      </w:r>
    </w:p>
    <w:p w:rsidR="00B460AE" w:rsidRPr="0041560A" w:rsidRDefault="00B460AE" w:rsidP="00B460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</w:p>
    <w:p w:rsidR="00B460AE" w:rsidRPr="000750E4" w:rsidRDefault="00B460AE" w:rsidP="00B460A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7E4F5F">
        <w:rPr>
          <w:rFonts w:ascii="Times New Roman" w:hAnsi="Times New Roman" w:cs="Times New Roman"/>
        </w:rPr>
        <w:t>Programový rozpočet</w:t>
      </w:r>
      <w:r w:rsidRPr="000750E4">
        <w:rPr>
          <w:rFonts w:ascii="Times New Roman" w:hAnsi="Times New Roman" w:cs="Times New Roman"/>
        </w:rPr>
        <w:t xml:space="preserve"> je pre samosprávu základným programovým dokumentom, podľa ktorého a na základe ktorého plánuje realizáciu a finančné zabezpečenie svojich úloh a povinností, ktoré plní v súlade s osobitnými predpismi. Programový r</w:t>
      </w:r>
      <w:r w:rsidRPr="000750E4">
        <w:rPr>
          <w:rFonts w:ascii="Times New Roman" w:eastAsia="Times New Roman" w:hAnsi="Times New Roman" w:cs="Times New Roman"/>
          <w:color w:val="000000"/>
          <w:lang w:eastAsia="sk-SK"/>
        </w:rPr>
        <w:t>ozpočet Mesta Stará Ľubovň</w:t>
      </w:r>
      <w:r w:rsidR="00D149DC" w:rsidRPr="000750E4">
        <w:rPr>
          <w:rFonts w:ascii="Times New Roman" w:eastAsia="Times New Roman" w:hAnsi="Times New Roman" w:cs="Times New Roman"/>
          <w:color w:val="000000"/>
          <w:lang w:eastAsia="sk-SK"/>
        </w:rPr>
        <w:t>a na roky 201</w:t>
      </w:r>
      <w:r w:rsidR="00CF247F">
        <w:rPr>
          <w:rFonts w:ascii="Times New Roman" w:eastAsia="Times New Roman" w:hAnsi="Times New Roman" w:cs="Times New Roman"/>
          <w:color w:val="000000"/>
          <w:lang w:eastAsia="sk-SK"/>
        </w:rPr>
        <w:t>9</w:t>
      </w:r>
      <w:r w:rsidR="00CD5BB6" w:rsidRPr="000750E4">
        <w:rPr>
          <w:rFonts w:ascii="Times New Roman" w:eastAsia="Times New Roman" w:hAnsi="Times New Roman" w:cs="Times New Roman"/>
          <w:color w:val="000000"/>
          <w:lang w:eastAsia="sk-SK"/>
        </w:rPr>
        <w:t xml:space="preserve"> – 20</w:t>
      </w:r>
      <w:r w:rsidR="00926386">
        <w:rPr>
          <w:rFonts w:ascii="Times New Roman" w:eastAsia="Times New Roman" w:hAnsi="Times New Roman" w:cs="Times New Roman"/>
          <w:color w:val="000000"/>
          <w:lang w:eastAsia="sk-SK"/>
        </w:rPr>
        <w:t>2</w:t>
      </w:r>
      <w:r w:rsidR="00CF247F">
        <w:rPr>
          <w:rFonts w:ascii="Times New Roman" w:eastAsia="Times New Roman" w:hAnsi="Times New Roman" w:cs="Times New Roman"/>
          <w:color w:val="000000"/>
          <w:lang w:eastAsia="sk-SK"/>
        </w:rPr>
        <w:t>1</w:t>
      </w:r>
      <w:r w:rsidRPr="000750E4">
        <w:rPr>
          <w:rFonts w:ascii="Times New Roman" w:eastAsia="Times New Roman" w:hAnsi="Times New Roman" w:cs="Times New Roman"/>
          <w:color w:val="000000"/>
          <w:lang w:eastAsia="sk-SK"/>
        </w:rPr>
        <w:t xml:space="preserve"> (ďalej len „</w:t>
      </w:r>
      <w:r w:rsidR="002A60A7" w:rsidRPr="000750E4">
        <w:rPr>
          <w:rFonts w:ascii="Times New Roman" w:eastAsia="Times New Roman" w:hAnsi="Times New Roman" w:cs="Times New Roman"/>
          <w:color w:val="000000"/>
          <w:lang w:eastAsia="sk-SK"/>
        </w:rPr>
        <w:t>R</w:t>
      </w:r>
      <w:r w:rsidRPr="000750E4">
        <w:rPr>
          <w:rFonts w:ascii="Times New Roman" w:eastAsia="Times New Roman" w:hAnsi="Times New Roman" w:cs="Times New Roman"/>
          <w:color w:val="000000"/>
          <w:lang w:eastAsia="sk-SK"/>
        </w:rPr>
        <w:t xml:space="preserve">ozpočet mesta“) vyjadruje samostatnosť hospodárenia </w:t>
      </w:r>
      <w:r w:rsidR="005D0FF2" w:rsidRPr="000750E4">
        <w:rPr>
          <w:rFonts w:ascii="Times New Roman" w:eastAsia="Times New Roman" w:hAnsi="Times New Roman" w:cs="Times New Roman"/>
          <w:color w:val="000000"/>
          <w:lang w:eastAsia="sk-SK"/>
        </w:rPr>
        <w:t>mesta</w:t>
      </w:r>
      <w:r w:rsidRPr="000750E4">
        <w:rPr>
          <w:rFonts w:ascii="Times New Roman" w:eastAsia="Times New Roman" w:hAnsi="Times New Roman" w:cs="Times New Roman"/>
          <w:color w:val="000000"/>
          <w:lang w:eastAsia="sk-SK"/>
        </w:rPr>
        <w:t xml:space="preserve">, obsahuje  zámery a ciele, ktoré bude mesto realizovať z výdavkov rozpočtu mesta, napr. Rozvojový program mesta, rozdelenie dotácií mesta, a pod. </w:t>
      </w:r>
      <w:r w:rsidRPr="000750E4">
        <w:rPr>
          <w:rFonts w:ascii="Times New Roman" w:hAnsi="Times New Roman" w:cs="Times New Roman"/>
        </w:rPr>
        <w:t xml:space="preserve">Iba v prípade finančného zabezpečenia prostriedkov môže realizovať a plniť úlohy, a teda môže sa zaväzovať k záväzkom ovplyvňujúcim rozpočet mesta.  </w:t>
      </w:r>
    </w:p>
    <w:p w:rsidR="008809B4" w:rsidRPr="000750E4" w:rsidRDefault="008809B4" w:rsidP="00B460A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Rozpočet mesta je základným stavebným prvkom</w:t>
      </w:r>
      <w:r w:rsidR="006D386D">
        <w:rPr>
          <w:rFonts w:ascii="Times New Roman" w:hAnsi="Times New Roman" w:cs="Times New Roman"/>
        </w:rPr>
        <w:t xml:space="preserve"> programovania, tvorby, r</w:t>
      </w:r>
      <w:r w:rsidR="00461B24" w:rsidRPr="000750E4">
        <w:rPr>
          <w:rFonts w:ascii="Times New Roman" w:hAnsi="Times New Roman" w:cs="Times New Roman"/>
        </w:rPr>
        <w:t>ealizácie a</w:t>
      </w:r>
      <w:r w:rsidRPr="000750E4">
        <w:rPr>
          <w:rFonts w:ascii="Times New Roman" w:hAnsi="Times New Roman" w:cs="Times New Roman"/>
        </w:rPr>
        <w:t xml:space="preserve"> financovania samosprávnych funkcií, ktorý presúva zodpovednosť za jeho zostavovanie a čerpanie organizácie</w:t>
      </w:r>
      <w:r w:rsidR="00926386">
        <w:rPr>
          <w:rFonts w:ascii="Times New Roman" w:hAnsi="Times New Roman" w:cs="Times New Roman"/>
        </w:rPr>
        <w:t xml:space="preserve"> v zriaďovateľskej pôsobnosti</w:t>
      </w:r>
      <w:r w:rsidR="0042583F">
        <w:rPr>
          <w:rFonts w:ascii="Times New Roman" w:hAnsi="Times New Roman" w:cs="Times New Roman"/>
        </w:rPr>
        <w:t xml:space="preserve"> a ďalších organizáciách</w:t>
      </w:r>
      <w:r w:rsidRPr="000750E4">
        <w:rPr>
          <w:rFonts w:ascii="Times New Roman" w:hAnsi="Times New Roman" w:cs="Times New Roman"/>
        </w:rPr>
        <w:t>. Príjmami rozpočtu sú najmä dane od právnických a fyzických osôb, prostriedky Európskej únie a iné štátne príjmy. Na strane výdavkov sú všetky samosprávne výdavky, ktoré je potrebné pre účely vykazovania zachytávať v členení podľa viacerých kritérií</w:t>
      </w:r>
      <w:r w:rsidR="0042583F">
        <w:rPr>
          <w:rFonts w:ascii="Times New Roman" w:hAnsi="Times New Roman" w:cs="Times New Roman"/>
        </w:rPr>
        <w:t xml:space="preserve"> (štatistiky podľa kritérií EÚ a pod.) </w:t>
      </w:r>
      <w:r w:rsidRPr="000750E4">
        <w:rPr>
          <w:rFonts w:ascii="Times New Roman" w:hAnsi="Times New Roman" w:cs="Times New Roman"/>
        </w:rPr>
        <w:t>Pohyby finančných prostriedkov sú zabezpečené prostredníctvom bankových účtov v komerčných bankách</w:t>
      </w:r>
      <w:r w:rsidR="0042583F">
        <w:rPr>
          <w:rFonts w:ascii="Times New Roman" w:hAnsi="Times New Roman" w:cs="Times New Roman"/>
        </w:rPr>
        <w:t xml:space="preserve"> alebo prostredníctvom hotovosti v pokladni</w:t>
      </w:r>
      <w:r w:rsidRPr="000750E4">
        <w:rPr>
          <w:rFonts w:ascii="Times New Roman" w:hAnsi="Times New Roman" w:cs="Times New Roman"/>
        </w:rPr>
        <w:t xml:space="preserve">. </w:t>
      </w:r>
    </w:p>
    <w:p w:rsidR="00461B24" w:rsidRPr="000750E4" w:rsidRDefault="0042583F" w:rsidP="00B460A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61B24" w:rsidRPr="000750E4">
        <w:rPr>
          <w:rFonts w:ascii="Times New Roman" w:hAnsi="Times New Roman" w:cs="Times New Roman"/>
        </w:rPr>
        <w:t>esto</w:t>
      </w:r>
      <w:r>
        <w:rPr>
          <w:rFonts w:ascii="Times New Roman" w:hAnsi="Times New Roman" w:cs="Times New Roman"/>
        </w:rPr>
        <w:t xml:space="preserve"> má</w:t>
      </w:r>
      <w:r w:rsidR="00461B24" w:rsidRPr="000750E4">
        <w:rPr>
          <w:rFonts w:ascii="Times New Roman" w:hAnsi="Times New Roman" w:cs="Times New Roman"/>
        </w:rPr>
        <w:t xml:space="preserve"> povinnosť zostaviť svoj rozpočet a pred schválením ho zverejniť zákonným spôsobom. Mesto zostavilo rozpočet na rok 201</w:t>
      </w:r>
      <w:r w:rsidR="00105C51">
        <w:rPr>
          <w:rFonts w:ascii="Times New Roman" w:hAnsi="Times New Roman" w:cs="Times New Roman"/>
        </w:rPr>
        <w:t>9</w:t>
      </w:r>
      <w:r w:rsidR="00461B24" w:rsidRPr="000750E4">
        <w:rPr>
          <w:rFonts w:ascii="Times New Roman" w:hAnsi="Times New Roman" w:cs="Times New Roman"/>
        </w:rPr>
        <w:t xml:space="preserve"> v súlade s </w:t>
      </w:r>
      <w:proofErr w:type="spellStart"/>
      <w:r w:rsidR="00461B24" w:rsidRPr="000750E4">
        <w:rPr>
          <w:rFonts w:ascii="Times New Roman" w:hAnsi="Times New Roman" w:cs="Times New Roman"/>
        </w:rPr>
        <w:t>ust</w:t>
      </w:r>
      <w:proofErr w:type="spellEnd"/>
      <w:r w:rsidR="00461B24" w:rsidRPr="000750E4">
        <w:rPr>
          <w:rFonts w:ascii="Times New Roman" w:hAnsi="Times New Roman" w:cs="Times New Roman"/>
        </w:rPr>
        <w:t>. § 10 ods. 3</w:t>
      </w:r>
      <w:r w:rsidR="00A04326" w:rsidRPr="000750E4">
        <w:rPr>
          <w:rFonts w:ascii="Times New Roman" w:hAnsi="Times New Roman" w:cs="Times New Roman"/>
        </w:rPr>
        <w:t xml:space="preserve"> zákona č. 583/2004 Z.z. Rozpočet mesta bol schválený ako vyrovnaný, v priebehu rozpočtového roka bol zmenený rozpočtovými opatreniami a schválenými zmenami rozpočtu. </w:t>
      </w:r>
    </w:p>
    <w:p w:rsidR="00B460AE" w:rsidRPr="000750E4" w:rsidRDefault="00B460AE" w:rsidP="00B460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Rozpočet mesta bol schválený ako vyrovnaný s </w:t>
      </w:r>
      <w:r w:rsidRPr="000750E4">
        <w:rPr>
          <w:rFonts w:ascii="Times New Roman" w:hAnsi="Times New Roman" w:cs="Times New Roman"/>
          <w:b/>
        </w:rPr>
        <w:t xml:space="preserve">celkovými príjmami vo výške </w:t>
      </w:r>
      <w:r w:rsidR="004B353B" w:rsidRPr="000750E4">
        <w:rPr>
          <w:rFonts w:ascii="Times New Roman" w:hAnsi="Times New Roman" w:cs="Times New Roman"/>
          <w:b/>
        </w:rPr>
        <w:t>1</w:t>
      </w:r>
      <w:r w:rsidR="006332B7">
        <w:rPr>
          <w:rFonts w:ascii="Times New Roman" w:hAnsi="Times New Roman" w:cs="Times New Roman"/>
          <w:b/>
        </w:rPr>
        <w:t>2</w:t>
      </w:r>
      <w:r w:rsidR="004B353B" w:rsidRPr="000750E4">
        <w:rPr>
          <w:rFonts w:ascii="Times New Roman" w:hAnsi="Times New Roman" w:cs="Times New Roman"/>
          <w:b/>
        </w:rPr>
        <w:t>.</w:t>
      </w:r>
      <w:r w:rsidR="00105C51">
        <w:rPr>
          <w:rFonts w:ascii="Times New Roman" w:hAnsi="Times New Roman" w:cs="Times New Roman"/>
          <w:b/>
        </w:rPr>
        <w:t>594</w:t>
      </w:r>
      <w:r w:rsidR="004B353B" w:rsidRPr="000750E4">
        <w:rPr>
          <w:rFonts w:ascii="Times New Roman" w:hAnsi="Times New Roman" w:cs="Times New Roman"/>
          <w:b/>
        </w:rPr>
        <w:t>.</w:t>
      </w:r>
      <w:r w:rsidR="00105C51">
        <w:rPr>
          <w:rFonts w:ascii="Times New Roman" w:hAnsi="Times New Roman" w:cs="Times New Roman"/>
          <w:b/>
        </w:rPr>
        <w:t>799</w:t>
      </w:r>
      <w:r w:rsidRPr="000750E4">
        <w:rPr>
          <w:rFonts w:ascii="Times New Roman" w:hAnsi="Times New Roman" w:cs="Times New Roman"/>
          <w:b/>
        </w:rPr>
        <w:t xml:space="preserve">€ a celkovými výdavkami </w:t>
      </w:r>
      <w:r w:rsidR="00105C51" w:rsidRPr="000750E4">
        <w:rPr>
          <w:rFonts w:ascii="Times New Roman" w:hAnsi="Times New Roman" w:cs="Times New Roman"/>
          <w:b/>
        </w:rPr>
        <w:t>1</w:t>
      </w:r>
      <w:r w:rsidR="00105C51">
        <w:rPr>
          <w:rFonts w:ascii="Times New Roman" w:hAnsi="Times New Roman" w:cs="Times New Roman"/>
          <w:b/>
        </w:rPr>
        <w:t>2</w:t>
      </w:r>
      <w:r w:rsidR="00105C51" w:rsidRPr="000750E4">
        <w:rPr>
          <w:rFonts w:ascii="Times New Roman" w:hAnsi="Times New Roman" w:cs="Times New Roman"/>
          <w:b/>
        </w:rPr>
        <w:t>.</w:t>
      </w:r>
      <w:r w:rsidR="00105C51">
        <w:rPr>
          <w:rFonts w:ascii="Times New Roman" w:hAnsi="Times New Roman" w:cs="Times New Roman"/>
          <w:b/>
        </w:rPr>
        <w:t>594</w:t>
      </w:r>
      <w:r w:rsidR="00105C51" w:rsidRPr="000750E4">
        <w:rPr>
          <w:rFonts w:ascii="Times New Roman" w:hAnsi="Times New Roman" w:cs="Times New Roman"/>
          <w:b/>
        </w:rPr>
        <w:t>.</w:t>
      </w:r>
      <w:r w:rsidR="00105C51">
        <w:rPr>
          <w:rFonts w:ascii="Times New Roman" w:hAnsi="Times New Roman" w:cs="Times New Roman"/>
          <w:b/>
        </w:rPr>
        <w:t>799</w:t>
      </w:r>
      <w:r w:rsidR="00461B24" w:rsidRPr="000750E4">
        <w:rPr>
          <w:rFonts w:ascii="Times New Roman" w:hAnsi="Times New Roman" w:cs="Times New Roman"/>
          <w:b/>
        </w:rPr>
        <w:t>€</w:t>
      </w:r>
      <w:r w:rsidRPr="000750E4">
        <w:rPr>
          <w:rFonts w:ascii="Times New Roman" w:hAnsi="Times New Roman" w:cs="Times New Roman"/>
        </w:rPr>
        <w:t xml:space="preserve">, uznesením </w:t>
      </w:r>
      <w:proofErr w:type="spellStart"/>
      <w:r w:rsidRPr="000750E4">
        <w:rPr>
          <w:rFonts w:ascii="Times New Roman" w:hAnsi="Times New Roman" w:cs="Times New Roman"/>
        </w:rPr>
        <w:t>MsZ</w:t>
      </w:r>
      <w:proofErr w:type="spellEnd"/>
      <w:r w:rsidRPr="000750E4">
        <w:rPr>
          <w:rFonts w:ascii="Times New Roman" w:hAnsi="Times New Roman" w:cs="Times New Roman"/>
        </w:rPr>
        <w:t xml:space="preserve"> </w:t>
      </w:r>
      <w:r w:rsidR="00461B24" w:rsidRPr="000750E4">
        <w:rPr>
          <w:rFonts w:ascii="Times New Roman" w:hAnsi="Times New Roman" w:cs="Times New Roman"/>
        </w:rPr>
        <w:t>X</w:t>
      </w:r>
      <w:r w:rsidR="006332B7">
        <w:rPr>
          <w:rFonts w:ascii="Times New Roman" w:hAnsi="Times New Roman" w:cs="Times New Roman"/>
        </w:rPr>
        <w:t>XX</w:t>
      </w:r>
      <w:r w:rsidR="00105C51">
        <w:rPr>
          <w:rFonts w:ascii="Times New Roman" w:hAnsi="Times New Roman" w:cs="Times New Roman"/>
        </w:rPr>
        <w:t>VII</w:t>
      </w:r>
      <w:r w:rsidRPr="000750E4">
        <w:rPr>
          <w:rFonts w:ascii="Times New Roman" w:hAnsi="Times New Roman" w:cs="Times New Roman"/>
        </w:rPr>
        <w:t>/201</w:t>
      </w:r>
      <w:r w:rsidR="00105C51">
        <w:rPr>
          <w:rFonts w:ascii="Times New Roman" w:hAnsi="Times New Roman" w:cs="Times New Roman"/>
        </w:rPr>
        <w:t>8</w:t>
      </w:r>
      <w:r w:rsidR="005D0FF2" w:rsidRPr="000750E4">
        <w:rPr>
          <w:rFonts w:ascii="Times New Roman" w:hAnsi="Times New Roman" w:cs="Times New Roman"/>
        </w:rPr>
        <w:t xml:space="preserve"> zo dňa </w:t>
      </w:r>
      <w:r w:rsidR="00105C51">
        <w:rPr>
          <w:rFonts w:ascii="Times New Roman" w:hAnsi="Times New Roman" w:cs="Times New Roman"/>
        </w:rPr>
        <w:t>25</w:t>
      </w:r>
      <w:r w:rsidRPr="000750E4">
        <w:rPr>
          <w:rFonts w:ascii="Times New Roman" w:hAnsi="Times New Roman" w:cs="Times New Roman"/>
        </w:rPr>
        <w:t>.1</w:t>
      </w:r>
      <w:r w:rsidR="00105C51">
        <w:rPr>
          <w:rFonts w:ascii="Times New Roman" w:hAnsi="Times New Roman" w:cs="Times New Roman"/>
        </w:rPr>
        <w:t>0</w:t>
      </w:r>
      <w:r w:rsidRPr="000750E4">
        <w:rPr>
          <w:rFonts w:ascii="Times New Roman" w:hAnsi="Times New Roman" w:cs="Times New Roman"/>
        </w:rPr>
        <w:t>.201</w:t>
      </w:r>
      <w:r w:rsidR="00105C51">
        <w:rPr>
          <w:rFonts w:ascii="Times New Roman" w:hAnsi="Times New Roman" w:cs="Times New Roman"/>
        </w:rPr>
        <w:t>8</w:t>
      </w:r>
      <w:r w:rsidRPr="000750E4">
        <w:rPr>
          <w:rFonts w:ascii="Times New Roman" w:hAnsi="Times New Roman" w:cs="Times New Roman"/>
        </w:rPr>
        <w:t xml:space="preserve">, kde boli </w:t>
      </w:r>
      <w:r w:rsidR="005D0FF2" w:rsidRPr="000750E4">
        <w:rPr>
          <w:rFonts w:ascii="Times New Roman" w:hAnsi="Times New Roman" w:cs="Times New Roman"/>
        </w:rPr>
        <w:t>ďalej</w:t>
      </w:r>
      <w:r w:rsidRPr="000750E4">
        <w:rPr>
          <w:rFonts w:ascii="Times New Roman" w:hAnsi="Times New Roman" w:cs="Times New Roman"/>
        </w:rPr>
        <w:t xml:space="preserve"> schválené zmeny a doplnky nasledovne : </w:t>
      </w:r>
    </w:p>
    <w:p w:rsidR="00A04326" w:rsidRPr="000750E4" w:rsidRDefault="00A04326" w:rsidP="00B460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460AE" w:rsidRPr="000750E4" w:rsidRDefault="00B460AE" w:rsidP="002A517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  <w:b/>
        </w:rPr>
        <w:t>I. zmena</w:t>
      </w:r>
      <w:r w:rsidRPr="000750E4">
        <w:rPr>
          <w:rFonts w:ascii="Times New Roman" w:hAnsi="Times New Roman" w:cs="Times New Roman"/>
        </w:rPr>
        <w:t xml:space="preserve"> </w:t>
      </w:r>
      <w:r w:rsidR="00A04326" w:rsidRPr="000750E4">
        <w:rPr>
          <w:rFonts w:ascii="Times New Roman" w:hAnsi="Times New Roman" w:cs="Times New Roman"/>
        </w:rPr>
        <w:t>R</w:t>
      </w:r>
      <w:r w:rsidRPr="000750E4">
        <w:rPr>
          <w:rFonts w:ascii="Times New Roman" w:hAnsi="Times New Roman" w:cs="Times New Roman"/>
        </w:rPr>
        <w:t xml:space="preserve">ozpočtu mesta, schválená uznesením </w:t>
      </w:r>
      <w:proofErr w:type="spellStart"/>
      <w:r w:rsidRPr="000750E4">
        <w:rPr>
          <w:rFonts w:ascii="Times New Roman" w:hAnsi="Times New Roman" w:cs="Times New Roman"/>
        </w:rPr>
        <w:t>MsZ</w:t>
      </w:r>
      <w:proofErr w:type="spellEnd"/>
      <w:r w:rsidRPr="000750E4">
        <w:rPr>
          <w:rFonts w:ascii="Times New Roman" w:hAnsi="Times New Roman" w:cs="Times New Roman"/>
        </w:rPr>
        <w:t xml:space="preserve"> </w:t>
      </w:r>
      <w:r w:rsidR="00105C51">
        <w:rPr>
          <w:rFonts w:ascii="Times New Roman" w:hAnsi="Times New Roman" w:cs="Times New Roman"/>
        </w:rPr>
        <w:t>VI</w:t>
      </w:r>
      <w:r w:rsidRPr="000750E4">
        <w:rPr>
          <w:rFonts w:ascii="Times New Roman" w:hAnsi="Times New Roman" w:cs="Times New Roman"/>
        </w:rPr>
        <w:t>/201</w:t>
      </w:r>
      <w:r w:rsidR="00105C51">
        <w:rPr>
          <w:rFonts w:ascii="Times New Roman" w:hAnsi="Times New Roman" w:cs="Times New Roman"/>
        </w:rPr>
        <w:t>9</w:t>
      </w:r>
      <w:r w:rsidRPr="000750E4">
        <w:rPr>
          <w:rFonts w:ascii="Times New Roman" w:hAnsi="Times New Roman" w:cs="Times New Roman"/>
        </w:rPr>
        <w:t xml:space="preserve"> dňa </w:t>
      </w:r>
      <w:r w:rsidR="00105C51">
        <w:rPr>
          <w:rFonts w:ascii="Times New Roman" w:hAnsi="Times New Roman" w:cs="Times New Roman"/>
        </w:rPr>
        <w:t>20.6.2019</w:t>
      </w:r>
      <w:r w:rsidR="005D0FF2" w:rsidRPr="000750E4">
        <w:rPr>
          <w:rFonts w:ascii="Times New Roman" w:hAnsi="Times New Roman" w:cs="Times New Roman"/>
        </w:rPr>
        <w:t>,</w:t>
      </w:r>
      <w:r w:rsidR="006332B7">
        <w:rPr>
          <w:rFonts w:ascii="Times New Roman" w:hAnsi="Times New Roman" w:cs="Times New Roman"/>
        </w:rPr>
        <w:t xml:space="preserve"> s</w:t>
      </w:r>
      <w:r w:rsidR="005D0FF2" w:rsidRPr="000750E4">
        <w:rPr>
          <w:rFonts w:ascii="Times New Roman" w:hAnsi="Times New Roman" w:cs="Times New Roman"/>
        </w:rPr>
        <w:t xml:space="preserve"> </w:t>
      </w:r>
      <w:r w:rsidR="002A5171" w:rsidRPr="000750E4">
        <w:rPr>
          <w:rFonts w:ascii="Times New Roman" w:hAnsi="Times New Roman" w:cs="Times New Roman"/>
        </w:rPr>
        <w:t>celkovými príjmami vo výške</w:t>
      </w:r>
      <w:r w:rsidR="002A5171" w:rsidRPr="000750E4">
        <w:rPr>
          <w:rFonts w:ascii="Times New Roman" w:hAnsi="Times New Roman" w:cs="Times New Roman"/>
          <w:b/>
        </w:rPr>
        <w:t xml:space="preserve"> </w:t>
      </w:r>
      <w:r w:rsidR="006332B7" w:rsidRPr="000750E4">
        <w:rPr>
          <w:rFonts w:ascii="Times New Roman" w:hAnsi="Times New Roman" w:cs="Times New Roman"/>
          <w:b/>
        </w:rPr>
        <w:t>1</w:t>
      </w:r>
      <w:r w:rsidR="00105C51">
        <w:rPr>
          <w:rFonts w:ascii="Times New Roman" w:hAnsi="Times New Roman" w:cs="Times New Roman"/>
          <w:b/>
        </w:rPr>
        <w:t>5.462.755</w:t>
      </w:r>
      <w:r w:rsidR="006332B7" w:rsidRPr="000750E4">
        <w:rPr>
          <w:rFonts w:ascii="Times New Roman" w:hAnsi="Times New Roman" w:cs="Times New Roman"/>
          <w:b/>
        </w:rPr>
        <w:t xml:space="preserve">€ </w:t>
      </w:r>
      <w:r w:rsidR="006332B7" w:rsidRPr="006332B7">
        <w:rPr>
          <w:rFonts w:ascii="Times New Roman" w:hAnsi="Times New Roman" w:cs="Times New Roman"/>
        </w:rPr>
        <w:t>a celkovými výdavkami</w:t>
      </w:r>
      <w:r w:rsidR="006332B7" w:rsidRPr="000750E4">
        <w:rPr>
          <w:rFonts w:ascii="Times New Roman" w:hAnsi="Times New Roman" w:cs="Times New Roman"/>
          <w:b/>
        </w:rPr>
        <w:t xml:space="preserve"> </w:t>
      </w:r>
      <w:r w:rsidR="00105C51" w:rsidRPr="000750E4">
        <w:rPr>
          <w:rFonts w:ascii="Times New Roman" w:hAnsi="Times New Roman" w:cs="Times New Roman"/>
          <w:b/>
        </w:rPr>
        <w:t>1</w:t>
      </w:r>
      <w:r w:rsidR="00105C51">
        <w:rPr>
          <w:rFonts w:ascii="Times New Roman" w:hAnsi="Times New Roman" w:cs="Times New Roman"/>
          <w:b/>
        </w:rPr>
        <w:t>5.462.755</w:t>
      </w:r>
      <w:r w:rsidR="006332B7" w:rsidRPr="000750E4">
        <w:rPr>
          <w:rFonts w:ascii="Times New Roman" w:hAnsi="Times New Roman" w:cs="Times New Roman"/>
          <w:b/>
        </w:rPr>
        <w:t>€</w:t>
      </w:r>
      <w:r w:rsidR="002A5171" w:rsidRPr="000750E4">
        <w:rPr>
          <w:rFonts w:ascii="Times New Roman" w:hAnsi="Times New Roman" w:cs="Times New Roman"/>
          <w:b/>
        </w:rPr>
        <w:t>.</w:t>
      </w:r>
      <w:r w:rsidR="002A5171" w:rsidRPr="000750E4">
        <w:rPr>
          <w:rFonts w:ascii="Times New Roman" w:hAnsi="Times New Roman" w:cs="Times New Roman"/>
        </w:rPr>
        <w:t xml:space="preserve">  </w:t>
      </w:r>
      <w:r w:rsidR="00ED5E1D" w:rsidRPr="000750E4">
        <w:rPr>
          <w:rFonts w:ascii="Times New Roman" w:hAnsi="Times New Roman" w:cs="Times New Roman"/>
        </w:rPr>
        <w:t>Celkový r</w:t>
      </w:r>
      <w:r w:rsidR="002A5171" w:rsidRPr="000750E4">
        <w:rPr>
          <w:rFonts w:ascii="Times New Roman" w:hAnsi="Times New Roman" w:cs="Times New Roman"/>
        </w:rPr>
        <w:t>ozpočet bol schválený ako vyrovnaný</w:t>
      </w:r>
      <w:r w:rsidR="006332B7">
        <w:rPr>
          <w:rFonts w:ascii="Times New Roman" w:hAnsi="Times New Roman" w:cs="Times New Roman"/>
        </w:rPr>
        <w:t xml:space="preserve"> bez vplyvu na celkový výsledok hospodárenia</w:t>
      </w:r>
      <w:r w:rsidR="00D209DE" w:rsidRPr="000750E4">
        <w:rPr>
          <w:rFonts w:ascii="Times New Roman" w:hAnsi="Times New Roman" w:cs="Times New Roman"/>
        </w:rPr>
        <w:t xml:space="preserve">; </w:t>
      </w:r>
    </w:p>
    <w:p w:rsidR="001C0B01" w:rsidRPr="000750E4" w:rsidRDefault="00D209DE" w:rsidP="001C0B01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C0B01">
        <w:rPr>
          <w:rFonts w:ascii="Times New Roman" w:hAnsi="Times New Roman" w:cs="Times New Roman"/>
          <w:b/>
        </w:rPr>
        <w:lastRenderedPageBreak/>
        <w:t>II. zmena</w:t>
      </w:r>
      <w:r w:rsidRPr="001C0B01">
        <w:rPr>
          <w:rFonts w:ascii="Times New Roman" w:hAnsi="Times New Roman" w:cs="Times New Roman"/>
        </w:rPr>
        <w:t xml:space="preserve"> </w:t>
      </w:r>
      <w:r w:rsidR="0054035C" w:rsidRPr="001C0B01">
        <w:rPr>
          <w:rFonts w:ascii="Times New Roman" w:hAnsi="Times New Roman" w:cs="Times New Roman"/>
        </w:rPr>
        <w:t>R</w:t>
      </w:r>
      <w:r w:rsidRPr="001C0B01">
        <w:rPr>
          <w:rFonts w:ascii="Times New Roman" w:hAnsi="Times New Roman" w:cs="Times New Roman"/>
        </w:rPr>
        <w:t xml:space="preserve">ozpočtu mesta, schválená uznesením </w:t>
      </w:r>
      <w:proofErr w:type="spellStart"/>
      <w:r w:rsidRPr="001C0B01">
        <w:rPr>
          <w:rFonts w:ascii="Times New Roman" w:hAnsi="Times New Roman" w:cs="Times New Roman"/>
        </w:rPr>
        <w:t>MsZ</w:t>
      </w:r>
      <w:proofErr w:type="spellEnd"/>
      <w:r w:rsidRPr="001C0B01">
        <w:rPr>
          <w:rFonts w:ascii="Times New Roman" w:hAnsi="Times New Roman" w:cs="Times New Roman"/>
        </w:rPr>
        <w:t xml:space="preserve"> </w:t>
      </w:r>
      <w:r w:rsidR="00105C51" w:rsidRPr="001C0B01">
        <w:rPr>
          <w:rFonts w:ascii="Times New Roman" w:hAnsi="Times New Roman" w:cs="Times New Roman"/>
        </w:rPr>
        <w:t>I</w:t>
      </w:r>
      <w:r w:rsidRPr="001C0B01">
        <w:rPr>
          <w:rFonts w:ascii="Times New Roman" w:hAnsi="Times New Roman" w:cs="Times New Roman"/>
        </w:rPr>
        <w:t>X/201</w:t>
      </w:r>
      <w:r w:rsidR="00105C51" w:rsidRPr="001C0B01">
        <w:rPr>
          <w:rFonts w:ascii="Times New Roman" w:hAnsi="Times New Roman" w:cs="Times New Roman"/>
        </w:rPr>
        <w:t>9</w:t>
      </w:r>
      <w:r w:rsidRPr="001C0B01">
        <w:rPr>
          <w:rFonts w:ascii="Times New Roman" w:hAnsi="Times New Roman" w:cs="Times New Roman"/>
        </w:rPr>
        <w:t xml:space="preserve"> dňa </w:t>
      </w:r>
      <w:r w:rsidR="001C0B01" w:rsidRPr="001C0B01">
        <w:rPr>
          <w:rFonts w:ascii="Times New Roman" w:hAnsi="Times New Roman" w:cs="Times New Roman"/>
        </w:rPr>
        <w:t>11</w:t>
      </w:r>
      <w:r w:rsidR="006332B7" w:rsidRPr="001C0B01">
        <w:rPr>
          <w:rFonts w:ascii="Times New Roman" w:hAnsi="Times New Roman" w:cs="Times New Roman"/>
        </w:rPr>
        <w:t>.</w:t>
      </w:r>
      <w:r w:rsidR="001C0B01" w:rsidRPr="001C0B01">
        <w:rPr>
          <w:rFonts w:ascii="Times New Roman" w:hAnsi="Times New Roman" w:cs="Times New Roman"/>
        </w:rPr>
        <w:t>12</w:t>
      </w:r>
      <w:r w:rsidR="006332B7" w:rsidRPr="001C0B01">
        <w:rPr>
          <w:rFonts w:ascii="Times New Roman" w:hAnsi="Times New Roman" w:cs="Times New Roman"/>
        </w:rPr>
        <w:t>.201</w:t>
      </w:r>
      <w:r w:rsidR="001C0B01" w:rsidRPr="001C0B01">
        <w:rPr>
          <w:rFonts w:ascii="Times New Roman" w:hAnsi="Times New Roman" w:cs="Times New Roman"/>
        </w:rPr>
        <w:t>9</w:t>
      </w:r>
      <w:r w:rsidR="006332B7" w:rsidRPr="001C0B01">
        <w:rPr>
          <w:rFonts w:ascii="Times New Roman" w:hAnsi="Times New Roman" w:cs="Times New Roman"/>
        </w:rPr>
        <w:t xml:space="preserve">, </w:t>
      </w:r>
      <w:r w:rsidR="001C0B01">
        <w:rPr>
          <w:rFonts w:ascii="Times New Roman" w:hAnsi="Times New Roman" w:cs="Times New Roman"/>
        </w:rPr>
        <w:t>s</w:t>
      </w:r>
      <w:r w:rsidR="001C0B01" w:rsidRPr="000750E4">
        <w:rPr>
          <w:rFonts w:ascii="Times New Roman" w:hAnsi="Times New Roman" w:cs="Times New Roman"/>
        </w:rPr>
        <w:t xml:space="preserve"> celkovými príjmami vo výške</w:t>
      </w:r>
      <w:r w:rsidR="001C0B01" w:rsidRPr="000750E4">
        <w:rPr>
          <w:rFonts w:ascii="Times New Roman" w:hAnsi="Times New Roman" w:cs="Times New Roman"/>
          <w:b/>
        </w:rPr>
        <w:t xml:space="preserve"> 1</w:t>
      </w:r>
      <w:r w:rsidR="001C0B01">
        <w:rPr>
          <w:rFonts w:ascii="Times New Roman" w:hAnsi="Times New Roman" w:cs="Times New Roman"/>
          <w:b/>
        </w:rPr>
        <w:t>5.941.354</w:t>
      </w:r>
      <w:r w:rsidR="001C0B01" w:rsidRPr="000750E4">
        <w:rPr>
          <w:rFonts w:ascii="Times New Roman" w:hAnsi="Times New Roman" w:cs="Times New Roman"/>
          <w:b/>
        </w:rPr>
        <w:t xml:space="preserve">€ </w:t>
      </w:r>
      <w:r w:rsidR="001C0B01" w:rsidRPr="006332B7">
        <w:rPr>
          <w:rFonts w:ascii="Times New Roman" w:hAnsi="Times New Roman" w:cs="Times New Roman"/>
        </w:rPr>
        <w:t>a celkovými výdavkami</w:t>
      </w:r>
      <w:r w:rsidR="001C0B01" w:rsidRPr="000750E4">
        <w:rPr>
          <w:rFonts w:ascii="Times New Roman" w:hAnsi="Times New Roman" w:cs="Times New Roman"/>
          <w:b/>
        </w:rPr>
        <w:t xml:space="preserve"> 1</w:t>
      </w:r>
      <w:r w:rsidR="001C0B01">
        <w:rPr>
          <w:rFonts w:ascii="Times New Roman" w:hAnsi="Times New Roman" w:cs="Times New Roman"/>
          <w:b/>
        </w:rPr>
        <w:t>5.941.354</w:t>
      </w:r>
      <w:r w:rsidR="001C0B01" w:rsidRPr="000750E4">
        <w:rPr>
          <w:rFonts w:ascii="Times New Roman" w:hAnsi="Times New Roman" w:cs="Times New Roman"/>
          <w:b/>
        </w:rPr>
        <w:t>€.</w:t>
      </w:r>
      <w:r w:rsidR="001C0B01" w:rsidRPr="000750E4">
        <w:rPr>
          <w:rFonts w:ascii="Times New Roman" w:hAnsi="Times New Roman" w:cs="Times New Roman"/>
        </w:rPr>
        <w:t xml:space="preserve">  Celkový rozpočet bol schválený ako vyrovnaný</w:t>
      </w:r>
      <w:r w:rsidR="001C0B01">
        <w:rPr>
          <w:rFonts w:ascii="Times New Roman" w:hAnsi="Times New Roman" w:cs="Times New Roman"/>
        </w:rPr>
        <w:t xml:space="preserve"> bez vplyvu na celkový výsledok hospodárenia</w:t>
      </w:r>
      <w:r w:rsidR="001C0B01" w:rsidRPr="000750E4">
        <w:rPr>
          <w:rFonts w:ascii="Times New Roman" w:hAnsi="Times New Roman" w:cs="Times New Roman"/>
        </w:rPr>
        <w:t xml:space="preserve">; </w:t>
      </w:r>
    </w:p>
    <w:p w:rsidR="00B460AE" w:rsidRPr="000750E4" w:rsidRDefault="00B460AE" w:rsidP="00D209D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  <w:b/>
        </w:rPr>
        <w:t>čiastkové zmeny</w:t>
      </w:r>
      <w:r w:rsidRPr="000750E4">
        <w:rPr>
          <w:rFonts w:ascii="Times New Roman" w:hAnsi="Times New Roman" w:cs="Times New Roman"/>
        </w:rPr>
        <w:t xml:space="preserve"> rozpočtu </w:t>
      </w:r>
      <w:r w:rsidR="00ED5E1D" w:rsidRPr="000750E4">
        <w:rPr>
          <w:rFonts w:ascii="Times New Roman" w:hAnsi="Times New Roman" w:cs="Times New Roman"/>
        </w:rPr>
        <w:t xml:space="preserve">(spolu v počte </w:t>
      </w:r>
      <w:r w:rsidR="001C0B01">
        <w:rPr>
          <w:rFonts w:ascii="Times New Roman" w:hAnsi="Times New Roman" w:cs="Times New Roman"/>
        </w:rPr>
        <w:t>39</w:t>
      </w:r>
      <w:r w:rsidR="00ED5E1D" w:rsidRPr="000750E4">
        <w:rPr>
          <w:rFonts w:ascii="Times New Roman" w:hAnsi="Times New Roman" w:cs="Times New Roman"/>
        </w:rPr>
        <w:t xml:space="preserve"> zmien, z toho </w:t>
      </w:r>
      <w:r w:rsidR="001C0B01">
        <w:rPr>
          <w:rFonts w:ascii="Times New Roman" w:hAnsi="Times New Roman" w:cs="Times New Roman"/>
        </w:rPr>
        <w:t>35</w:t>
      </w:r>
      <w:r w:rsidR="00ED5E1D" w:rsidRPr="000750E4">
        <w:rPr>
          <w:rFonts w:ascii="Times New Roman" w:hAnsi="Times New Roman" w:cs="Times New Roman"/>
        </w:rPr>
        <w:t xml:space="preserve"> v</w:t>
      </w:r>
      <w:r w:rsidR="00D9043A">
        <w:rPr>
          <w:rFonts w:ascii="Times New Roman" w:hAnsi="Times New Roman" w:cs="Times New Roman"/>
        </w:rPr>
        <w:t> Programe 12</w:t>
      </w:r>
      <w:r w:rsidR="00ED5E1D" w:rsidRPr="000750E4">
        <w:rPr>
          <w:rFonts w:ascii="Times New Roman" w:hAnsi="Times New Roman" w:cs="Times New Roman"/>
        </w:rPr>
        <w:t xml:space="preserve"> Školstvo</w:t>
      </w:r>
      <w:r w:rsidR="00661707" w:rsidRPr="000750E4">
        <w:rPr>
          <w:rFonts w:ascii="Times New Roman" w:hAnsi="Times New Roman" w:cs="Times New Roman"/>
        </w:rPr>
        <w:t>, o ktorých mesto viedlo operatívnu evidenciu v súlade s </w:t>
      </w:r>
      <w:proofErr w:type="spellStart"/>
      <w:r w:rsidR="00661707" w:rsidRPr="000750E4">
        <w:rPr>
          <w:rFonts w:ascii="Times New Roman" w:hAnsi="Times New Roman" w:cs="Times New Roman"/>
        </w:rPr>
        <w:t>ust</w:t>
      </w:r>
      <w:proofErr w:type="spellEnd"/>
      <w:r w:rsidR="00661707" w:rsidRPr="000750E4">
        <w:rPr>
          <w:rFonts w:ascii="Times New Roman" w:hAnsi="Times New Roman" w:cs="Times New Roman"/>
        </w:rPr>
        <w:t>. § 14 ods. 4 zákona č. 583/2004 Z.z..</w:t>
      </w:r>
      <w:r w:rsidR="00ED5E1D" w:rsidRPr="000750E4">
        <w:rPr>
          <w:rFonts w:ascii="Times New Roman" w:hAnsi="Times New Roman" w:cs="Times New Roman"/>
        </w:rPr>
        <w:t xml:space="preserve">) </w:t>
      </w:r>
      <w:r w:rsidR="00D209DE" w:rsidRPr="000750E4">
        <w:rPr>
          <w:rFonts w:ascii="Times New Roman" w:hAnsi="Times New Roman" w:cs="Times New Roman"/>
        </w:rPr>
        <w:t>v súlade so schválenou</w:t>
      </w:r>
      <w:r w:rsidRPr="000750E4">
        <w:rPr>
          <w:rFonts w:ascii="Times New Roman" w:hAnsi="Times New Roman" w:cs="Times New Roman"/>
        </w:rPr>
        <w:t xml:space="preserve"> kompetenci</w:t>
      </w:r>
      <w:r w:rsidR="00D209DE" w:rsidRPr="000750E4">
        <w:rPr>
          <w:rFonts w:ascii="Times New Roman" w:hAnsi="Times New Roman" w:cs="Times New Roman"/>
        </w:rPr>
        <w:t>ou primátora mesta</w:t>
      </w:r>
      <w:r w:rsidR="0054035C" w:rsidRPr="000750E4">
        <w:rPr>
          <w:rFonts w:ascii="Times New Roman" w:hAnsi="Times New Roman" w:cs="Times New Roman"/>
        </w:rPr>
        <w:t xml:space="preserve">, </w:t>
      </w:r>
      <w:r w:rsidRPr="000750E4">
        <w:rPr>
          <w:rFonts w:ascii="Times New Roman" w:hAnsi="Times New Roman" w:cs="Times New Roman"/>
        </w:rPr>
        <w:t xml:space="preserve">v oblasti vykonávania zmien </w:t>
      </w:r>
      <w:r w:rsidR="00D209DE" w:rsidRPr="000750E4">
        <w:rPr>
          <w:rFonts w:ascii="Times New Roman" w:hAnsi="Times New Roman" w:cs="Times New Roman"/>
        </w:rPr>
        <w:t>r</w:t>
      </w:r>
      <w:r w:rsidRPr="000750E4">
        <w:rPr>
          <w:rFonts w:ascii="Times New Roman" w:hAnsi="Times New Roman" w:cs="Times New Roman"/>
        </w:rPr>
        <w:t xml:space="preserve">ozpočtu </w:t>
      </w:r>
      <w:r w:rsidR="00D209DE" w:rsidRPr="000750E4">
        <w:rPr>
          <w:rFonts w:ascii="Times New Roman" w:hAnsi="Times New Roman" w:cs="Times New Roman"/>
        </w:rPr>
        <w:t xml:space="preserve">mesta, </w:t>
      </w:r>
      <w:r w:rsidRPr="000750E4">
        <w:rPr>
          <w:rFonts w:ascii="Times New Roman" w:hAnsi="Times New Roman" w:cs="Times New Roman"/>
        </w:rPr>
        <w:t>v časti bežných výdavkov</w:t>
      </w:r>
      <w:r w:rsidR="00D209DE" w:rsidRPr="000750E4">
        <w:rPr>
          <w:rFonts w:ascii="Times New Roman" w:hAnsi="Times New Roman" w:cs="Times New Roman"/>
        </w:rPr>
        <w:t xml:space="preserve">, </w:t>
      </w:r>
      <w:r w:rsidRPr="000750E4">
        <w:rPr>
          <w:rFonts w:ascii="Times New Roman" w:hAnsi="Times New Roman" w:cs="Times New Roman"/>
        </w:rPr>
        <w:t>bez vplyvu na výsledok hospodárenia mesta</w:t>
      </w:r>
      <w:r w:rsidR="00D209DE" w:rsidRPr="000750E4">
        <w:rPr>
          <w:rFonts w:ascii="Times New Roman" w:hAnsi="Times New Roman" w:cs="Times New Roman"/>
        </w:rPr>
        <w:t>;</w:t>
      </w:r>
      <w:r w:rsidRPr="000750E4">
        <w:rPr>
          <w:rFonts w:ascii="Times New Roman" w:hAnsi="Times New Roman" w:cs="Times New Roman"/>
        </w:rPr>
        <w:t xml:space="preserve">  </w:t>
      </w:r>
    </w:p>
    <w:p w:rsidR="00B460AE" w:rsidRPr="00355182" w:rsidRDefault="00355182" w:rsidP="00355182">
      <w:pPr>
        <w:pStyle w:val="Default"/>
        <w:numPr>
          <w:ilvl w:val="0"/>
          <w:numId w:val="3"/>
        </w:numPr>
        <w:jc w:val="both"/>
        <w:rPr>
          <w:b/>
        </w:rPr>
      </w:pPr>
      <w:r>
        <w:rPr>
          <w:rFonts w:eastAsia="Times New Roman"/>
          <w:sz w:val="22"/>
          <w:szCs w:val="22"/>
          <w:lang w:eastAsia="sk-SK"/>
        </w:rPr>
        <w:t>n</w:t>
      </w:r>
      <w:r w:rsidRPr="000750E4">
        <w:rPr>
          <w:rFonts w:eastAsia="Times New Roman"/>
          <w:sz w:val="22"/>
          <w:szCs w:val="22"/>
          <w:lang w:eastAsia="sk-SK"/>
        </w:rPr>
        <w:t>apriek snahe zostaviť reálny rozpočet a v priebehu celého rozpočtového roka 201</w:t>
      </w:r>
      <w:r>
        <w:rPr>
          <w:rFonts w:eastAsia="Times New Roman"/>
          <w:sz w:val="22"/>
          <w:szCs w:val="22"/>
          <w:lang w:eastAsia="sk-SK"/>
        </w:rPr>
        <w:t>9</w:t>
      </w:r>
      <w:r w:rsidRPr="000750E4">
        <w:rPr>
          <w:rFonts w:eastAsia="Times New Roman"/>
          <w:sz w:val="22"/>
          <w:szCs w:val="22"/>
          <w:lang w:eastAsia="sk-SK"/>
        </w:rPr>
        <w:t xml:space="preserve"> sa mesto nevyhlo situácií, keď muselo do schváleného rozpočtu zasiahnuť a vykonať zmeny, aby zabezpečilo vyrovnanosť rozpočtu ku koncu rozpočtového roka. </w:t>
      </w:r>
      <w:r w:rsidRPr="000750E4">
        <w:rPr>
          <w:sz w:val="22"/>
          <w:szCs w:val="22"/>
        </w:rPr>
        <w:t xml:space="preserve">Vplyvom vyššie uvedených zmien bol rozpočet mesta poslednou zmenou schválený a rozpočtovaný </w:t>
      </w:r>
      <w:r>
        <w:rPr>
          <w:sz w:val="22"/>
          <w:szCs w:val="22"/>
        </w:rPr>
        <w:t xml:space="preserve">opatreniami upravený </w:t>
      </w:r>
      <w:r w:rsidRPr="000750E4">
        <w:rPr>
          <w:sz w:val="22"/>
          <w:szCs w:val="22"/>
        </w:rPr>
        <w:t xml:space="preserve">na </w:t>
      </w:r>
      <w:r>
        <w:rPr>
          <w:b/>
          <w:sz w:val="22"/>
          <w:szCs w:val="22"/>
        </w:rPr>
        <w:t xml:space="preserve">celkové príjmy vo výške </w:t>
      </w:r>
      <w:r w:rsidRPr="00355182">
        <w:rPr>
          <w:b/>
          <w:sz w:val="22"/>
          <w:szCs w:val="22"/>
        </w:rPr>
        <w:t>16.431.687€ a</w:t>
      </w:r>
      <w:r>
        <w:rPr>
          <w:b/>
          <w:sz w:val="22"/>
          <w:szCs w:val="22"/>
        </w:rPr>
        <w:t xml:space="preserve"> celkové </w:t>
      </w:r>
      <w:r w:rsidRPr="00355182">
        <w:rPr>
          <w:b/>
          <w:sz w:val="22"/>
          <w:szCs w:val="22"/>
        </w:rPr>
        <w:t>výdavky vo výške 16.431.687€.</w:t>
      </w:r>
    </w:p>
    <w:p w:rsidR="00355182" w:rsidRPr="00355182" w:rsidRDefault="00355182" w:rsidP="00B460AE">
      <w:pPr>
        <w:spacing w:after="0" w:line="240" w:lineRule="auto"/>
        <w:rPr>
          <w:rFonts w:ascii="Times New Roman" w:hAnsi="Times New Roman" w:cs="Times New Roman"/>
        </w:rPr>
      </w:pPr>
    </w:p>
    <w:p w:rsidR="00B460AE" w:rsidRPr="000750E4" w:rsidRDefault="00B460AE" w:rsidP="00B460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60AE" w:rsidRPr="00FA27F4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>
        <w:rPr>
          <w:rFonts w:ascii="Times New Roman" w:hAnsi="Times New Roman" w:cs="Times New Roman"/>
          <w:b/>
          <w:smallCaps/>
          <w:sz w:val="26"/>
          <w:szCs w:val="26"/>
        </w:rPr>
        <w:t>Kompetencie</w:t>
      </w:r>
      <w:r w:rsidRPr="00FA27F4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mallCaps/>
          <w:sz w:val="26"/>
          <w:szCs w:val="26"/>
        </w:rPr>
        <w:t xml:space="preserve">schvaľovania a </w:t>
      </w:r>
      <w:r w:rsidRPr="00FA27F4">
        <w:rPr>
          <w:rFonts w:ascii="Times New Roman" w:hAnsi="Times New Roman" w:cs="Times New Roman"/>
          <w:b/>
          <w:smallCaps/>
          <w:sz w:val="26"/>
          <w:szCs w:val="26"/>
        </w:rPr>
        <w:t xml:space="preserve">úpravy rozpočtu </w:t>
      </w:r>
    </w:p>
    <w:p w:rsidR="00B460AE" w:rsidRDefault="00B460AE" w:rsidP="00B460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0AE" w:rsidRPr="000750E4" w:rsidRDefault="00B460AE" w:rsidP="00B460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>Mestské zastupiteľstvo v Starej Ľubovni v súlade s</w:t>
      </w:r>
      <w:r w:rsidR="0054035C" w:rsidRPr="000750E4">
        <w:rPr>
          <w:rFonts w:ascii="Times New Roman" w:hAnsi="Times New Roman" w:cs="Times New Roman"/>
        </w:rPr>
        <w:t> </w:t>
      </w:r>
      <w:proofErr w:type="spellStart"/>
      <w:r w:rsidRPr="000750E4">
        <w:rPr>
          <w:rFonts w:ascii="Times New Roman" w:hAnsi="Times New Roman" w:cs="Times New Roman"/>
        </w:rPr>
        <w:t>ust</w:t>
      </w:r>
      <w:proofErr w:type="spellEnd"/>
      <w:r w:rsidR="0054035C" w:rsidRPr="000750E4">
        <w:rPr>
          <w:rFonts w:ascii="Times New Roman" w:hAnsi="Times New Roman" w:cs="Times New Roman"/>
        </w:rPr>
        <w:t>.</w:t>
      </w:r>
      <w:r w:rsidRPr="000750E4">
        <w:rPr>
          <w:rFonts w:ascii="Times New Roman" w:hAnsi="Times New Roman" w:cs="Times New Roman"/>
        </w:rPr>
        <w:t xml:space="preserve"> § 11 ods. 4, </w:t>
      </w:r>
      <w:r w:rsidR="00ED5E1D" w:rsidRPr="000750E4">
        <w:rPr>
          <w:rFonts w:ascii="Times New Roman" w:hAnsi="Times New Roman" w:cs="Times New Roman"/>
        </w:rPr>
        <w:t xml:space="preserve">písm. b) </w:t>
      </w:r>
      <w:r w:rsidRPr="000750E4">
        <w:rPr>
          <w:rFonts w:ascii="Times New Roman" w:hAnsi="Times New Roman" w:cs="Times New Roman"/>
        </w:rPr>
        <w:t xml:space="preserve">zákona č. 369/1990 Zb. o obecnom zriadení v znení neskorších zmien a doplnkov, rozhoduje o základných otázkach života </w:t>
      </w:r>
      <w:r w:rsidR="00ED5E1D" w:rsidRPr="000750E4">
        <w:rPr>
          <w:rFonts w:ascii="Times New Roman" w:hAnsi="Times New Roman" w:cs="Times New Roman"/>
        </w:rPr>
        <w:t>mesta</w:t>
      </w:r>
      <w:r w:rsidRPr="000750E4">
        <w:rPr>
          <w:rFonts w:ascii="Times New Roman" w:hAnsi="Times New Roman" w:cs="Times New Roman"/>
        </w:rPr>
        <w:t xml:space="preserve">, </w:t>
      </w:r>
      <w:r w:rsidR="00ED5E1D" w:rsidRPr="000750E4">
        <w:rPr>
          <w:rFonts w:ascii="Times New Roman" w:hAnsi="Times New Roman" w:cs="Times New Roman"/>
        </w:rPr>
        <w:t xml:space="preserve">ale </w:t>
      </w:r>
      <w:r w:rsidRPr="000750E4">
        <w:rPr>
          <w:rFonts w:ascii="Times New Roman" w:hAnsi="Times New Roman" w:cs="Times New Roman"/>
        </w:rPr>
        <w:t xml:space="preserve">najmä je mu vyhradené schvaľovať rozpočet mesta a jeho zmeny, kontrolovať jeho čerpanie a schvaľovať záverečný účet </w:t>
      </w:r>
      <w:r w:rsidR="00ED5E1D" w:rsidRPr="000750E4">
        <w:rPr>
          <w:rFonts w:ascii="Times New Roman" w:hAnsi="Times New Roman" w:cs="Times New Roman"/>
        </w:rPr>
        <w:t>mesta</w:t>
      </w:r>
      <w:r w:rsidRPr="000750E4">
        <w:rPr>
          <w:rFonts w:ascii="Times New Roman" w:hAnsi="Times New Roman" w:cs="Times New Roman"/>
        </w:rPr>
        <w:t xml:space="preserve">, atď. </w:t>
      </w:r>
    </w:p>
    <w:p w:rsidR="00B460AE" w:rsidRPr="000750E4" w:rsidRDefault="00B460AE" w:rsidP="00B460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78DD" w:rsidRPr="000750E4" w:rsidRDefault="00B460AE" w:rsidP="00ED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eastAsia="Times New Roman" w:hAnsi="Times New Roman" w:cs="Times New Roman"/>
          <w:lang w:eastAsia="sk-SK"/>
        </w:rPr>
        <w:t>V súlade s</w:t>
      </w:r>
      <w:r w:rsidR="0054035C" w:rsidRPr="000750E4">
        <w:rPr>
          <w:rFonts w:ascii="Times New Roman" w:eastAsia="Times New Roman" w:hAnsi="Times New Roman" w:cs="Times New Roman"/>
          <w:lang w:eastAsia="sk-SK"/>
        </w:rPr>
        <w:t> </w:t>
      </w:r>
      <w:proofErr w:type="spellStart"/>
      <w:r w:rsidRPr="000750E4">
        <w:rPr>
          <w:rFonts w:ascii="Times New Roman" w:eastAsia="Times New Roman" w:hAnsi="Times New Roman" w:cs="Times New Roman"/>
          <w:lang w:eastAsia="sk-SK"/>
        </w:rPr>
        <w:t>ust</w:t>
      </w:r>
      <w:proofErr w:type="spellEnd"/>
      <w:r w:rsidR="0054035C" w:rsidRPr="000750E4">
        <w:rPr>
          <w:rFonts w:ascii="Times New Roman" w:eastAsia="Times New Roman" w:hAnsi="Times New Roman" w:cs="Times New Roman"/>
          <w:lang w:eastAsia="sk-SK"/>
        </w:rPr>
        <w:t>.</w:t>
      </w:r>
      <w:r w:rsidRPr="000750E4">
        <w:rPr>
          <w:rFonts w:ascii="Times New Roman" w:eastAsia="Times New Roman" w:hAnsi="Times New Roman" w:cs="Times New Roman"/>
          <w:lang w:eastAsia="sk-SK"/>
        </w:rPr>
        <w:t xml:space="preserve"> § 11 ods. 4 písm. b) zákona č. 369/1990 Zb. o obecnom zriadení v znení neskorších zmien a doplnkov a v rozsahu Uznesenia </w:t>
      </w:r>
      <w:r w:rsidR="00ED78DD" w:rsidRPr="000750E4">
        <w:rPr>
          <w:rFonts w:ascii="Times New Roman" w:eastAsia="Times New Roman" w:hAnsi="Times New Roman" w:cs="Times New Roman"/>
          <w:lang w:eastAsia="sk-SK"/>
        </w:rPr>
        <w:t xml:space="preserve">č. 734 z rokovania </w:t>
      </w:r>
      <w:r w:rsidRPr="000750E4">
        <w:rPr>
          <w:rFonts w:ascii="Times New Roman" w:eastAsia="Times New Roman" w:hAnsi="Times New Roman" w:cs="Times New Roman"/>
          <w:lang w:eastAsia="sk-SK"/>
        </w:rPr>
        <w:t>mestského zastupiteľstva</w:t>
      </w:r>
      <w:r w:rsidR="00ED78DD" w:rsidRPr="000750E4">
        <w:rPr>
          <w:rFonts w:ascii="Times New Roman" w:eastAsia="Times New Roman" w:hAnsi="Times New Roman" w:cs="Times New Roman"/>
          <w:lang w:eastAsia="sk-SK"/>
        </w:rPr>
        <w:t xml:space="preserve"> č. XXX/2017 zo dňa 14.12.2017</w:t>
      </w:r>
      <w:r w:rsidRPr="000750E4">
        <w:rPr>
          <w:rFonts w:ascii="Times New Roman" w:eastAsia="Times New Roman" w:hAnsi="Times New Roman" w:cs="Times New Roman"/>
          <w:lang w:eastAsia="sk-SK"/>
        </w:rPr>
        <w:t xml:space="preserve">, môže primátor mesta vykonávať zmeny </w:t>
      </w:r>
      <w:r w:rsidR="00ED78DD" w:rsidRPr="000750E4">
        <w:rPr>
          <w:rFonts w:ascii="Times New Roman" w:hAnsi="Times New Roman" w:cs="Times New Roman"/>
          <w:bCs/>
        </w:rPr>
        <w:t xml:space="preserve">a úpravy programového rozpočtu mesta :  </w:t>
      </w:r>
    </w:p>
    <w:p w:rsidR="00ED78DD" w:rsidRPr="000750E4" w:rsidRDefault="00ED78DD" w:rsidP="00ED78D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  <w:bCs/>
        </w:rPr>
        <w:t xml:space="preserve">v oblasti bežných  výdavkov v príslušnom rozpočtovom období v rámci a medzi príslušnými programami programového rozpočtu v jednotlivých položkách funkčnej a ekonomickej klasifikácie, okrem položiek ekonomickej klasifikácie 611, 612 a 614 - miezd, platov, služobných príjmov a ostatných osobných vyrovnaní a položiek ekonomickej klasifikácie 620 až 627 - poistného a príspevkov do poisťovní </w:t>
      </w:r>
      <w:r w:rsidRPr="000750E4">
        <w:rPr>
          <w:rFonts w:ascii="Times New Roman" w:hAnsi="Times New Roman" w:cs="Times New Roman"/>
        </w:rPr>
        <w:t>zmenou výšky rozpočtovaných výdavkov medzi jednotlivými položkami rozpočtovaných výdavkov navzájom bez navýšenia celkových výdavkov programového rozpočtu mesta v príslušnom roku,</w:t>
      </w:r>
    </w:p>
    <w:p w:rsidR="00ED78DD" w:rsidRPr="000750E4" w:rsidRDefault="00ED78DD" w:rsidP="00ED78D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</w:rPr>
        <w:t>bez obmedzenia v položkách príjmov a výdavkov programového rozpočtu mesta v oblasti školstva – originálnych kompetencii, prenesených kompetencii a nenormatívnych výdavkov,</w:t>
      </w:r>
    </w:p>
    <w:p w:rsidR="00ED78DD" w:rsidRPr="000750E4" w:rsidRDefault="00ED78DD" w:rsidP="00ED78D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</w:rPr>
        <w:t>bez obmedzenia v položkách príjmov a výdavkov pri refundovaných činnostiach v plnej výške v rámci jednotlivých schválených projektov a programov programového rozpočtu mesta,</w:t>
      </w:r>
    </w:p>
    <w:p w:rsidR="00ED78DD" w:rsidRPr="000750E4" w:rsidRDefault="00ED78DD" w:rsidP="00ED78D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  <w:bCs/>
        </w:rPr>
        <w:t>medzi kapitálovými a bežnými príjmami a výdavkami v príslušnom rozpočtovom období v potrebnom rozsahu za účelom dosiahnutia správneho zatriedenia príjmov a výdavkov podľa rozpočtovej klasifikácie. Pri týchto zmenách musí byť dodržaný vecne schválený a vymedzený účel použitia verejných prostriedkov, ktorý schválilo mestské zastupiteľstvo v rámci programového rozpočtu a RPM mesta na príslušné rozpočtové obdobie. Tieto zmeny nemôžu mať za následok zvýšenie celkových príjmov a výdavkov programového rozpočtu,</w:t>
      </w:r>
    </w:p>
    <w:p w:rsidR="00B460AE" w:rsidRPr="000750E4" w:rsidRDefault="00ED78DD" w:rsidP="00ED78DD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</w:rPr>
        <w:t xml:space="preserve">všetky zmeny, ktoré vykoná primátor mesta, nesmú mať za následok zmenu schváleného výsledku hospodárenia mesta za príslušný rozpočtový rok. O vykonaných zmenách v rozpočte informuje primátor mesta mestské zastupiteľstvo na jeho zasadnutí, ktoré nasleduje bezprostredne po vykonaných zmenách. </w:t>
      </w:r>
    </w:p>
    <w:p w:rsidR="00B460AE" w:rsidRDefault="00B460AE" w:rsidP="00B46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Plnenie rozpočtu príjmov </w:t>
      </w:r>
    </w:p>
    <w:p w:rsidR="00AB178F" w:rsidRDefault="00AB178F" w:rsidP="00AB178F">
      <w:pPr>
        <w:pStyle w:val="Default"/>
        <w:jc w:val="both"/>
        <w:rPr>
          <w:sz w:val="23"/>
          <w:szCs w:val="23"/>
        </w:rPr>
      </w:pPr>
    </w:p>
    <w:p w:rsidR="00AB178F" w:rsidRPr="000750E4" w:rsidRDefault="00036DAC" w:rsidP="00AB178F">
      <w:pPr>
        <w:pStyle w:val="Default"/>
        <w:ind w:firstLine="708"/>
        <w:jc w:val="both"/>
        <w:rPr>
          <w:b/>
          <w:iCs/>
          <w:smallCaps/>
          <w:sz w:val="22"/>
          <w:szCs w:val="22"/>
        </w:rPr>
      </w:pPr>
      <w:r w:rsidRPr="000750E4">
        <w:rPr>
          <w:sz w:val="22"/>
          <w:szCs w:val="22"/>
        </w:rPr>
        <w:t>V súlade s</w:t>
      </w:r>
      <w:r w:rsidR="00036060" w:rsidRPr="000750E4">
        <w:rPr>
          <w:sz w:val="22"/>
          <w:szCs w:val="22"/>
        </w:rPr>
        <w:t> </w:t>
      </w:r>
      <w:proofErr w:type="spellStart"/>
      <w:r w:rsidRPr="000750E4">
        <w:rPr>
          <w:sz w:val="22"/>
          <w:szCs w:val="22"/>
        </w:rPr>
        <w:t>ust</w:t>
      </w:r>
      <w:proofErr w:type="spellEnd"/>
      <w:r w:rsidR="00036060" w:rsidRPr="000750E4">
        <w:rPr>
          <w:sz w:val="22"/>
          <w:szCs w:val="22"/>
        </w:rPr>
        <w:t>.</w:t>
      </w:r>
      <w:r w:rsidR="00AB178F" w:rsidRPr="000750E4">
        <w:rPr>
          <w:sz w:val="22"/>
          <w:szCs w:val="22"/>
        </w:rPr>
        <w:t xml:space="preserve"> § 5 ods. 1, 3 </w:t>
      </w:r>
      <w:r w:rsidR="00E13603" w:rsidRPr="000750E4">
        <w:rPr>
          <w:sz w:val="22"/>
          <w:szCs w:val="22"/>
        </w:rPr>
        <w:t>583/2004 Z.z.</w:t>
      </w:r>
      <w:r w:rsidR="00AB178F" w:rsidRPr="000750E4">
        <w:rPr>
          <w:sz w:val="22"/>
          <w:szCs w:val="22"/>
        </w:rPr>
        <w:t>sa príjmy</w:t>
      </w:r>
      <w:r w:rsidR="00AB178F" w:rsidRPr="000750E4">
        <w:rPr>
          <w:b/>
          <w:iCs/>
          <w:smallCaps/>
          <w:sz w:val="22"/>
          <w:szCs w:val="22"/>
        </w:rPr>
        <w:t xml:space="preserve"> </w:t>
      </w:r>
      <w:r w:rsidR="00AB178F" w:rsidRPr="000750E4">
        <w:rPr>
          <w:sz w:val="22"/>
          <w:szCs w:val="22"/>
        </w:rPr>
        <w:t xml:space="preserve">rozpočtu </w:t>
      </w:r>
      <w:r w:rsidR="00E13603" w:rsidRPr="000750E4">
        <w:rPr>
          <w:sz w:val="22"/>
          <w:szCs w:val="22"/>
        </w:rPr>
        <w:t>mesta</w:t>
      </w:r>
      <w:r w:rsidR="00AB178F" w:rsidRPr="000750E4">
        <w:rPr>
          <w:sz w:val="22"/>
          <w:szCs w:val="22"/>
        </w:rPr>
        <w:t xml:space="preserve"> členia na </w:t>
      </w:r>
      <w:r w:rsidR="00AB178F" w:rsidRPr="007E4F5F">
        <w:rPr>
          <w:b/>
          <w:sz w:val="22"/>
          <w:szCs w:val="22"/>
        </w:rPr>
        <w:t>vlastné a cudzie</w:t>
      </w:r>
      <w:r w:rsidR="00AB178F" w:rsidRPr="000750E4">
        <w:rPr>
          <w:sz w:val="22"/>
          <w:szCs w:val="22"/>
        </w:rPr>
        <w:t xml:space="preserve">. </w:t>
      </w:r>
    </w:p>
    <w:p w:rsidR="003E0A4A" w:rsidRPr="000750E4" w:rsidRDefault="003E0A4A" w:rsidP="00AB178F">
      <w:pPr>
        <w:pStyle w:val="Default"/>
        <w:jc w:val="both"/>
        <w:rPr>
          <w:b/>
          <w:bCs/>
          <w:sz w:val="22"/>
          <w:szCs w:val="22"/>
        </w:rPr>
      </w:pPr>
    </w:p>
    <w:p w:rsidR="00AB178F" w:rsidRPr="000750E4" w:rsidRDefault="00AB178F" w:rsidP="003E0A4A">
      <w:pPr>
        <w:pStyle w:val="Default"/>
        <w:ind w:firstLine="708"/>
        <w:jc w:val="both"/>
        <w:rPr>
          <w:sz w:val="22"/>
          <w:szCs w:val="22"/>
        </w:rPr>
      </w:pPr>
      <w:r w:rsidRPr="00A70CA6">
        <w:rPr>
          <w:b/>
          <w:bCs/>
          <w:sz w:val="22"/>
          <w:szCs w:val="22"/>
        </w:rPr>
        <w:t>Vlastné príjmy</w:t>
      </w:r>
      <w:r w:rsidRPr="000750E4">
        <w:rPr>
          <w:b/>
          <w:bCs/>
          <w:sz w:val="22"/>
          <w:szCs w:val="22"/>
        </w:rPr>
        <w:t xml:space="preserve"> bežného rozpočtu </w:t>
      </w:r>
      <w:r w:rsidRPr="000750E4">
        <w:rPr>
          <w:sz w:val="22"/>
          <w:szCs w:val="22"/>
        </w:rPr>
        <w:t xml:space="preserve">predstavovali daňové príjmy a nedaňové príjmy; </w:t>
      </w:r>
      <w:r w:rsidR="003E0A4A" w:rsidRPr="00091BEE">
        <w:rPr>
          <w:b/>
          <w:sz w:val="22"/>
          <w:szCs w:val="22"/>
        </w:rPr>
        <w:t xml:space="preserve">vlastné príjmy </w:t>
      </w:r>
      <w:r w:rsidRPr="00091BEE">
        <w:rPr>
          <w:b/>
          <w:bCs/>
          <w:sz w:val="22"/>
          <w:szCs w:val="22"/>
        </w:rPr>
        <w:t>kapitálového rozpočtu</w:t>
      </w:r>
      <w:r w:rsidRPr="000750E4">
        <w:rPr>
          <w:b/>
          <w:bCs/>
          <w:sz w:val="22"/>
          <w:szCs w:val="22"/>
        </w:rPr>
        <w:t xml:space="preserve"> </w:t>
      </w:r>
      <w:r w:rsidRPr="000750E4">
        <w:rPr>
          <w:sz w:val="22"/>
          <w:szCs w:val="22"/>
        </w:rPr>
        <w:t xml:space="preserve">predstavovali </w:t>
      </w:r>
      <w:r w:rsidR="00E13603" w:rsidRPr="000750E4">
        <w:rPr>
          <w:sz w:val="22"/>
          <w:szCs w:val="22"/>
        </w:rPr>
        <w:t xml:space="preserve">najmä </w:t>
      </w:r>
      <w:r w:rsidRPr="000750E4">
        <w:rPr>
          <w:sz w:val="22"/>
          <w:szCs w:val="22"/>
        </w:rPr>
        <w:t>príjmy z predaja kapitálových aktív a</w:t>
      </w:r>
      <w:r w:rsidR="0007116D">
        <w:rPr>
          <w:sz w:val="22"/>
          <w:szCs w:val="22"/>
        </w:rPr>
        <w:t> </w:t>
      </w:r>
      <w:r w:rsidRPr="000750E4">
        <w:rPr>
          <w:sz w:val="22"/>
          <w:szCs w:val="22"/>
        </w:rPr>
        <w:t xml:space="preserve">pozemkov. </w:t>
      </w:r>
    </w:p>
    <w:p w:rsidR="003E0A4A" w:rsidRPr="000750E4" w:rsidRDefault="003E0A4A" w:rsidP="00AB178F">
      <w:pPr>
        <w:pStyle w:val="Default"/>
        <w:jc w:val="both"/>
        <w:rPr>
          <w:b/>
          <w:bCs/>
          <w:sz w:val="22"/>
          <w:szCs w:val="22"/>
        </w:rPr>
      </w:pPr>
    </w:p>
    <w:p w:rsidR="00AB178F" w:rsidRPr="000750E4" w:rsidRDefault="00AB178F" w:rsidP="003E0A4A">
      <w:pPr>
        <w:pStyle w:val="Default"/>
        <w:ind w:firstLine="708"/>
        <w:jc w:val="both"/>
        <w:rPr>
          <w:sz w:val="22"/>
          <w:szCs w:val="22"/>
        </w:rPr>
      </w:pPr>
      <w:r w:rsidRPr="0007116D">
        <w:rPr>
          <w:b/>
          <w:bCs/>
          <w:sz w:val="22"/>
          <w:szCs w:val="22"/>
        </w:rPr>
        <w:lastRenderedPageBreak/>
        <w:t>Cudzie príjmy bežného rozpočtu</w:t>
      </w:r>
      <w:r w:rsidRPr="000750E4">
        <w:rPr>
          <w:b/>
          <w:bCs/>
          <w:sz w:val="22"/>
          <w:szCs w:val="22"/>
        </w:rPr>
        <w:t xml:space="preserve"> </w:t>
      </w:r>
      <w:r w:rsidRPr="000750E4">
        <w:rPr>
          <w:sz w:val="22"/>
          <w:szCs w:val="22"/>
        </w:rPr>
        <w:t>boli tvorené</w:t>
      </w:r>
      <w:r w:rsidR="006D0B16" w:rsidRPr="000750E4">
        <w:rPr>
          <w:sz w:val="22"/>
          <w:szCs w:val="22"/>
        </w:rPr>
        <w:t xml:space="preserve"> príjmami </w:t>
      </w:r>
      <w:r w:rsidR="00A007DF" w:rsidRPr="000750E4">
        <w:rPr>
          <w:sz w:val="22"/>
          <w:szCs w:val="22"/>
        </w:rPr>
        <w:t xml:space="preserve">z grantov, transferov </w:t>
      </w:r>
      <w:r w:rsidRPr="000750E4">
        <w:rPr>
          <w:sz w:val="22"/>
          <w:szCs w:val="22"/>
        </w:rPr>
        <w:t>v rámci verejnej správy na činnosť preneseného výkonu štátnej správy (</w:t>
      </w:r>
      <w:r w:rsidR="00091BEE">
        <w:rPr>
          <w:sz w:val="22"/>
          <w:szCs w:val="22"/>
        </w:rPr>
        <w:t xml:space="preserve">transfer na školstvo, register obyvateľstva, mestský školský úrad, stavebný úrad, pozemné komunikácie a doprava, európsky sociálny fond, </w:t>
      </w:r>
      <w:r w:rsidRPr="000750E4">
        <w:rPr>
          <w:sz w:val="22"/>
          <w:szCs w:val="22"/>
        </w:rPr>
        <w:t>ŠFRB,</w:t>
      </w:r>
      <w:r w:rsidR="00091BEE">
        <w:rPr>
          <w:sz w:val="22"/>
          <w:szCs w:val="22"/>
        </w:rPr>
        <w:t xml:space="preserve"> matrika, životné prostredie, obce na CVČ, na voľby, opatrovatelia, dieťa v hmotnej núdzi, školstvo a špeciálna ZŠ, rodinné prídavky, kultúrny dom). </w:t>
      </w:r>
      <w:r w:rsidR="003E0A4A" w:rsidRPr="00091BEE">
        <w:rPr>
          <w:b/>
          <w:sz w:val="22"/>
          <w:szCs w:val="22"/>
        </w:rPr>
        <w:t>Cudzie príjmy kapitálového rozpočtu</w:t>
      </w:r>
      <w:r w:rsidR="003E0A4A" w:rsidRPr="000750E4">
        <w:rPr>
          <w:sz w:val="22"/>
          <w:szCs w:val="22"/>
        </w:rPr>
        <w:t xml:space="preserve"> predstavovali</w:t>
      </w:r>
      <w:r w:rsidR="006D0B16" w:rsidRPr="000750E4">
        <w:rPr>
          <w:sz w:val="22"/>
          <w:szCs w:val="22"/>
        </w:rPr>
        <w:t xml:space="preserve"> </w:t>
      </w:r>
      <w:r w:rsidR="00091BEE">
        <w:rPr>
          <w:sz w:val="22"/>
          <w:szCs w:val="22"/>
        </w:rPr>
        <w:t xml:space="preserve">granty na </w:t>
      </w:r>
      <w:r w:rsidR="001358D6">
        <w:rPr>
          <w:sz w:val="22"/>
          <w:szCs w:val="22"/>
        </w:rPr>
        <w:t xml:space="preserve">cyklotrasu OC Kaufland – Hniezdne, </w:t>
      </w:r>
      <w:r w:rsidR="00091BEE">
        <w:rPr>
          <w:sz w:val="22"/>
          <w:szCs w:val="22"/>
        </w:rPr>
        <w:t xml:space="preserve">havarijnú situáciu kotolne, ozvučenie MŠH, </w:t>
      </w:r>
      <w:r w:rsidR="001358D6">
        <w:rPr>
          <w:sz w:val="22"/>
          <w:szCs w:val="22"/>
        </w:rPr>
        <w:t xml:space="preserve">rekonštrukciu provinčného domu, stavebnú úpravy hasičskej zbrojnice, ZŠ Za vodou – výmena okien, </w:t>
      </w:r>
      <w:r w:rsidR="00091BEE">
        <w:rPr>
          <w:sz w:val="22"/>
          <w:szCs w:val="22"/>
        </w:rPr>
        <w:t>elektromobil, komplexná obnova ZUŠ</w:t>
      </w:r>
      <w:r w:rsidR="008634C5" w:rsidRPr="000750E4">
        <w:rPr>
          <w:sz w:val="22"/>
          <w:szCs w:val="22"/>
        </w:rPr>
        <w:t xml:space="preserve">. </w:t>
      </w:r>
    </w:p>
    <w:p w:rsidR="00E24A8E" w:rsidRPr="000750E4" w:rsidRDefault="001B02F7" w:rsidP="003E0A4A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ab/>
      </w:r>
    </w:p>
    <w:p w:rsidR="003B5EAB" w:rsidRPr="0017085C" w:rsidRDefault="001B02F7" w:rsidP="003E0A4A">
      <w:pPr>
        <w:pStyle w:val="Default"/>
        <w:ind w:firstLine="708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 w:rsidR="008D41BD" w:rsidRPr="008D41BD">
        <w:rPr>
          <w:sz w:val="22"/>
          <w:szCs w:val="22"/>
        </w:rPr>
        <w:t>Prehľad bežných a kapitálových príjmov</w:t>
      </w:r>
      <w:r w:rsidR="008D41BD"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E24A8E">
        <w:rPr>
          <w:sz w:val="23"/>
          <w:szCs w:val="23"/>
        </w:rPr>
        <w:tab/>
      </w:r>
      <w:r w:rsidR="00E24A8E">
        <w:rPr>
          <w:sz w:val="23"/>
          <w:szCs w:val="23"/>
        </w:rPr>
        <w:tab/>
      </w:r>
      <w:r w:rsidR="0017085C" w:rsidRPr="0017085C">
        <w:rPr>
          <w:sz w:val="18"/>
          <w:szCs w:val="18"/>
        </w:rPr>
        <w:t>t</w:t>
      </w:r>
      <w:r w:rsidRPr="0017085C">
        <w:rPr>
          <w:sz w:val="18"/>
          <w:szCs w:val="18"/>
        </w:rPr>
        <w:t xml:space="preserve">ab. č. </w:t>
      </w:r>
      <w:r w:rsidR="001736D6">
        <w:rPr>
          <w:sz w:val="18"/>
          <w:szCs w:val="18"/>
        </w:rPr>
        <w:t>1</w:t>
      </w:r>
    </w:p>
    <w:tbl>
      <w:tblPr>
        <w:tblStyle w:val="Obyajntabuka1"/>
        <w:tblW w:w="6559" w:type="dxa"/>
        <w:tblInd w:w="1021" w:type="dxa"/>
        <w:tblLook w:val="04A0" w:firstRow="1" w:lastRow="0" w:firstColumn="1" w:lastColumn="0" w:noHBand="0" w:noVBand="1"/>
      </w:tblPr>
      <w:tblGrid>
        <w:gridCol w:w="1833"/>
        <w:gridCol w:w="1276"/>
        <w:gridCol w:w="1276"/>
        <w:gridCol w:w="826"/>
        <w:gridCol w:w="1348"/>
      </w:tblGrid>
      <w:tr w:rsidR="00A80987" w:rsidRPr="00A80987" w:rsidTr="003313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A80987" w:rsidRPr="00331381" w:rsidRDefault="00A80987" w:rsidP="00A809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Príjmy </w:t>
            </w:r>
          </w:p>
        </w:tc>
        <w:tc>
          <w:tcPr>
            <w:tcW w:w="1276" w:type="dxa"/>
            <w:hideMark/>
          </w:tcPr>
          <w:p w:rsidR="00A80987" w:rsidRPr="00331381" w:rsidRDefault="00A80987" w:rsidP="00A80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1276" w:type="dxa"/>
            <w:hideMark/>
          </w:tcPr>
          <w:p w:rsidR="00A80987" w:rsidRPr="00331381" w:rsidRDefault="00F530AE" w:rsidP="00091B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Skutočnosť k 31.12.201</w:t>
            </w:r>
            <w:r w:rsidR="00331381"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826" w:type="dxa"/>
            <w:hideMark/>
          </w:tcPr>
          <w:p w:rsidR="00A80987" w:rsidRPr="00331381" w:rsidRDefault="00F530AE" w:rsidP="003313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% plnenia</w:t>
            </w:r>
          </w:p>
        </w:tc>
        <w:tc>
          <w:tcPr>
            <w:tcW w:w="1348" w:type="dxa"/>
            <w:hideMark/>
          </w:tcPr>
          <w:p w:rsidR="00573259" w:rsidRPr="00331381" w:rsidRDefault="00573259" w:rsidP="00091B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Skutočnosť</w:t>
            </w:r>
            <w:r w:rsidR="006C6707"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 k 31.12.201</w:t>
            </w:r>
            <w:r w:rsidR="00331381"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8</w:t>
            </w:r>
          </w:p>
          <w:p w:rsidR="00331381" w:rsidRPr="00331381" w:rsidRDefault="00331381" w:rsidP="00091B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</w:p>
        </w:tc>
      </w:tr>
      <w:tr w:rsidR="00331381" w:rsidRPr="00A80987" w:rsidTr="0033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vlastné 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8 613 124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8 518 857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98,91</w:t>
            </w:r>
          </w:p>
        </w:tc>
        <w:tc>
          <w:tcPr>
            <w:tcW w:w="1348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7 808 616</w:t>
            </w:r>
          </w:p>
        </w:tc>
      </w:tr>
      <w:tr w:rsidR="00331381" w:rsidRPr="00A80987" w:rsidTr="0033138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cudzie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5 030 630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4 968 346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98,76</w:t>
            </w:r>
          </w:p>
        </w:tc>
        <w:tc>
          <w:tcPr>
            <w:tcW w:w="1348" w:type="dxa"/>
            <w:vAlign w:val="center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4 229 490</w:t>
            </w:r>
          </w:p>
        </w:tc>
      </w:tr>
      <w:tr w:rsidR="00331381" w:rsidRPr="00A80987" w:rsidTr="0033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13 643 754</w:t>
            </w:r>
          </w:p>
        </w:tc>
        <w:tc>
          <w:tcPr>
            <w:tcW w:w="1276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13 487 203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98,85</w:t>
            </w:r>
          </w:p>
        </w:tc>
        <w:tc>
          <w:tcPr>
            <w:tcW w:w="1348" w:type="dxa"/>
            <w:vAlign w:val="center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12 038 106</w:t>
            </w:r>
          </w:p>
        </w:tc>
      </w:tr>
      <w:tr w:rsidR="00A80987" w:rsidRPr="00A80987" w:rsidTr="0033138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A80987" w:rsidRPr="00331381" w:rsidRDefault="00A80987" w:rsidP="00A809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76" w:type="dxa"/>
          </w:tcPr>
          <w:p w:rsidR="00A80987" w:rsidRPr="00331381" w:rsidRDefault="00A80987" w:rsidP="006C6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276" w:type="dxa"/>
          </w:tcPr>
          <w:p w:rsidR="00A80987" w:rsidRPr="00331381" w:rsidRDefault="00A80987" w:rsidP="006C6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26" w:type="dxa"/>
          </w:tcPr>
          <w:p w:rsidR="00A80987" w:rsidRPr="00331381" w:rsidRDefault="00A80987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8" w:type="dxa"/>
          </w:tcPr>
          <w:p w:rsidR="00A80987" w:rsidRPr="00331381" w:rsidRDefault="00A80987" w:rsidP="006C6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</w:p>
        </w:tc>
      </w:tr>
      <w:tr w:rsidR="00331381" w:rsidRPr="00A80987" w:rsidTr="0033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vlastné 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232 830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205 802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88,39</w:t>
            </w:r>
          </w:p>
        </w:tc>
        <w:tc>
          <w:tcPr>
            <w:tcW w:w="1348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694 899</w:t>
            </w:r>
          </w:p>
        </w:tc>
      </w:tr>
      <w:tr w:rsidR="00331381" w:rsidRPr="00A80987" w:rsidTr="0033138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cudzie 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763 186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742 538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97,29</w:t>
            </w:r>
          </w:p>
        </w:tc>
        <w:tc>
          <w:tcPr>
            <w:tcW w:w="1348" w:type="dxa"/>
          </w:tcPr>
          <w:p w:rsidR="00331381" w:rsidRPr="00331381" w:rsidRDefault="00331381" w:rsidP="003313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216 535</w:t>
            </w:r>
          </w:p>
        </w:tc>
      </w:tr>
      <w:tr w:rsidR="00331381" w:rsidRPr="00A80987" w:rsidTr="00331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hideMark/>
          </w:tcPr>
          <w:p w:rsidR="00331381" w:rsidRPr="00331381" w:rsidRDefault="00331381" w:rsidP="0033138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33138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996 016</w:t>
            </w:r>
          </w:p>
        </w:tc>
        <w:tc>
          <w:tcPr>
            <w:tcW w:w="127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948 340</w:t>
            </w:r>
          </w:p>
        </w:tc>
        <w:tc>
          <w:tcPr>
            <w:tcW w:w="826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95,21</w:t>
            </w:r>
          </w:p>
        </w:tc>
        <w:tc>
          <w:tcPr>
            <w:tcW w:w="1348" w:type="dxa"/>
          </w:tcPr>
          <w:p w:rsidR="00331381" w:rsidRPr="00331381" w:rsidRDefault="00331381" w:rsidP="003313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3138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911 434</w:t>
            </w:r>
          </w:p>
        </w:tc>
      </w:tr>
    </w:tbl>
    <w:p w:rsidR="006264C9" w:rsidRPr="000750E4" w:rsidRDefault="006264C9" w:rsidP="003E0A4A">
      <w:pPr>
        <w:pStyle w:val="Default"/>
        <w:ind w:firstLine="708"/>
        <w:jc w:val="both"/>
        <w:rPr>
          <w:sz w:val="22"/>
          <w:szCs w:val="22"/>
        </w:rPr>
      </w:pPr>
    </w:p>
    <w:p w:rsidR="006264C9" w:rsidRPr="000750E4" w:rsidRDefault="006264C9" w:rsidP="003E0A4A">
      <w:pPr>
        <w:pStyle w:val="Default"/>
        <w:ind w:firstLine="708"/>
        <w:jc w:val="both"/>
        <w:rPr>
          <w:sz w:val="22"/>
          <w:szCs w:val="22"/>
        </w:rPr>
      </w:pPr>
    </w:p>
    <w:p w:rsidR="00F231A8" w:rsidRPr="00CF0A00" w:rsidRDefault="00963D36" w:rsidP="00E2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  <w:color w:val="000000"/>
        </w:rPr>
        <w:t xml:space="preserve">V súlade s príslušnými </w:t>
      </w:r>
      <w:proofErr w:type="spellStart"/>
      <w:r w:rsidRPr="000750E4">
        <w:rPr>
          <w:rFonts w:ascii="Times New Roman" w:hAnsi="Times New Roman" w:cs="Times New Roman"/>
          <w:color w:val="000000"/>
        </w:rPr>
        <w:t>ust</w:t>
      </w:r>
      <w:proofErr w:type="spellEnd"/>
      <w:r w:rsidRPr="000750E4">
        <w:rPr>
          <w:rFonts w:ascii="Times New Roman" w:hAnsi="Times New Roman" w:cs="Times New Roman"/>
          <w:color w:val="000000"/>
        </w:rPr>
        <w:t xml:space="preserve">. </w:t>
      </w:r>
      <w:r w:rsidR="00A80987" w:rsidRPr="000750E4">
        <w:rPr>
          <w:rFonts w:ascii="Times New Roman" w:hAnsi="Times New Roman" w:cs="Times New Roman"/>
          <w:color w:val="000000"/>
        </w:rPr>
        <w:t>zákona č. 564/2004 Z.z. o rozpočtovom určení výnosu dane z príjmov územnej samospráve a o zmene a doplnení niektorých zákonov v znení neskorších predpisov pre rok 201</w:t>
      </w:r>
      <w:r w:rsidR="00331381">
        <w:rPr>
          <w:rFonts w:ascii="Times New Roman" w:hAnsi="Times New Roman" w:cs="Times New Roman"/>
          <w:color w:val="000000"/>
        </w:rPr>
        <w:t>9</w:t>
      </w:r>
      <w:r w:rsidR="00A80987" w:rsidRPr="000750E4">
        <w:rPr>
          <w:rFonts w:ascii="Times New Roman" w:hAnsi="Times New Roman" w:cs="Times New Roman"/>
          <w:color w:val="000000"/>
        </w:rPr>
        <w:t xml:space="preserve"> mesto rozpočtovalo výnos podielových daní pridelených samospráve na základe východísk rozpočtu verejnej správy, štátneho rozpočtu a rozpočtu </w:t>
      </w:r>
      <w:r w:rsidR="008D41BD">
        <w:rPr>
          <w:rFonts w:ascii="Times New Roman" w:hAnsi="Times New Roman" w:cs="Times New Roman"/>
          <w:color w:val="000000"/>
        </w:rPr>
        <w:t>miest a obcí na roky 2019</w:t>
      </w:r>
      <w:r w:rsidR="00A80987" w:rsidRPr="000750E4">
        <w:rPr>
          <w:rFonts w:ascii="Times New Roman" w:hAnsi="Times New Roman" w:cs="Times New Roman"/>
          <w:color w:val="000000"/>
        </w:rPr>
        <w:t xml:space="preserve"> – 20</w:t>
      </w:r>
      <w:r w:rsidR="008D41BD">
        <w:rPr>
          <w:rFonts w:ascii="Times New Roman" w:hAnsi="Times New Roman" w:cs="Times New Roman"/>
          <w:color w:val="000000"/>
        </w:rPr>
        <w:t>2</w:t>
      </w:r>
      <w:r w:rsidR="00331381">
        <w:rPr>
          <w:rFonts w:ascii="Times New Roman" w:hAnsi="Times New Roman" w:cs="Times New Roman"/>
          <w:color w:val="000000"/>
        </w:rPr>
        <w:t>1</w:t>
      </w:r>
      <w:r w:rsidR="00A80987" w:rsidRPr="000750E4">
        <w:rPr>
          <w:rFonts w:ascii="Times New Roman" w:hAnsi="Times New Roman" w:cs="Times New Roman"/>
          <w:color w:val="000000"/>
        </w:rPr>
        <w:t>, predpokladaného výnosu podielových daní v roku 201</w:t>
      </w:r>
      <w:r w:rsidR="00331381">
        <w:rPr>
          <w:rFonts w:ascii="Times New Roman" w:hAnsi="Times New Roman" w:cs="Times New Roman"/>
          <w:color w:val="000000"/>
        </w:rPr>
        <w:t>8</w:t>
      </w:r>
      <w:r w:rsidR="00A80987" w:rsidRPr="000750E4">
        <w:rPr>
          <w:rFonts w:ascii="Times New Roman" w:hAnsi="Times New Roman" w:cs="Times New Roman"/>
          <w:color w:val="000000"/>
        </w:rPr>
        <w:t xml:space="preserve"> a so zohľadnením rizí</w:t>
      </w:r>
      <w:r w:rsidR="00F231A8" w:rsidRPr="000750E4">
        <w:rPr>
          <w:rFonts w:ascii="Times New Roman" w:hAnsi="Times New Roman" w:cs="Times New Roman"/>
          <w:color w:val="000000"/>
        </w:rPr>
        <w:t xml:space="preserve">k daňovej prognózy. </w:t>
      </w:r>
      <w:r w:rsidR="00A80987" w:rsidRPr="00A051F5">
        <w:rPr>
          <w:rFonts w:ascii="Times New Roman" w:hAnsi="Times New Roman" w:cs="Times New Roman"/>
          <w:b/>
          <w:color w:val="000000"/>
        </w:rPr>
        <w:t>K 31.12.201</w:t>
      </w:r>
      <w:r w:rsidR="00331381" w:rsidRPr="00A051F5">
        <w:rPr>
          <w:rFonts w:ascii="Times New Roman" w:hAnsi="Times New Roman" w:cs="Times New Roman"/>
          <w:b/>
          <w:color w:val="000000"/>
        </w:rPr>
        <w:t>9</w:t>
      </w:r>
      <w:r w:rsidR="00A80987" w:rsidRPr="00A051F5">
        <w:rPr>
          <w:rFonts w:ascii="Times New Roman" w:hAnsi="Times New Roman" w:cs="Times New Roman"/>
          <w:b/>
          <w:color w:val="000000"/>
        </w:rPr>
        <w:t xml:space="preserve"> výnos dane z príjmov poukázaný územnej samospráve </w:t>
      </w:r>
      <w:r w:rsidR="00F231A8" w:rsidRPr="00A051F5">
        <w:rPr>
          <w:rFonts w:ascii="Times New Roman" w:hAnsi="Times New Roman" w:cs="Times New Roman"/>
          <w:b/>
          <w:color w:val="000000"/>
        </w:rPr>
        <w:t>bol vo výške</w:t>
      </w:r>
      <w:r w:rsidR="00331381" w:rsidRPr="00A051F5">
        <w:rPr>
          <w:rFonts w:ascii="Times New Roman" w:hAnsi="Times New Roman" w:cs="Times New Roman"/>
          <w:b/>
          <w:color w:val="000000"/>
        </w:rPr>
        <w:t xml:space="preserve"> 7.078.476€ (r. 2018</w:t>
      </w:r>
      <w:r w:rsidR="00F231A8" w:rsidRPr="00A051F5">
        <w:rPr>
          <w:rFonts w:ascii="Times New Roman" w:hAnsi="Times New Roman" w:cs="Times New Roman"/>
          <w:b/>
          <w:color w:val="000000"/>
        </w:rPr>
        <w:t xml:space="preserve"> </w:t>
      </w:r>
      <w:r w:rsidR="00331381" w:rsidRPr="00A051F5">
        <w:rPr>
          <w:rFonts w:ascii="Times New Roman" w:hAnsi="Times New Roman" w:cs="Times New Roman"/>
          <w:b/>
          <w:color w:val="000000"/>
        </w:rPr>
        <w:t xml:space="preserve">6.379.013€, </w:t>
      </w:r>
      <w:r w:rsidR="0005392D" w:rsidRPr="00A051F5">
        <w:rPr>
          <w:rFonts w:ascii="Times New Roman" w:hAnsi="Times New Roman" w:cs="Times New Roman"/>
          <w:b/>
          <w:color w:val="000000"/>
        </w:rPr>
        <w:t xml:space="preserve">r. 2017 </w:t>
      </w:r>
      <w:r w:rsidR="00265F2D" w:rsidRPr="00A051F5">
        <w:rPr>
          <w:rFonts w:ascii="Times New Roman" w:hAnsi="Times New Roman" w:cs="Times New Roman"/>
          <w:b/>
          <w:color w:val="000000"/>
        </w:rPr>
        <w:t>5.</w:t>
      </w:r>
      <w:r w:rsidR="0005392D" w:rsidRPr="00A051F5">
        <w:rPr>
          <w:rFonts w:ascii="Times New Roman" w:hAnsi="Times New Roman" w:cs="Times New Roman"/>
          <w:b/>
          <w:color w:val="000000"/>
        </w:rPr>
        <w:t xml:space="preserve">767.454€, </w:t>
      </w:r>
      <w:r w:rsidR="00F030A6" w:rsidRPr="00A051F5">
        <w:rPr>
          <w:rFonts w:ascii="Times New Roman" w:hAnsi="Times New Roman" w:cs="Times New Roman"/>
          <w:b/>
          <w:color w:val="000000"/>
        </w:rPr>
        <w:t>r.2016 5.</w:t>
      </w:r>
      <w:r w:rsidR="00265F2D" w:rsidRPr="00A051F5">
        <w:rPr>
          <w:rFonts w:ascii="Times New Roman" w:hAnsi="Times New Roman" w:cs="Times New Roman"/>
          <w:b/>
          <w:color w:val="000000"/>
        </w:rPr>
        <w:t>362.457</w:t>
      </w:r>
      <w:r w:rsidR="00F231A8" w:rsidRPr="00A051F5">
        <w:rPr>
          <w:rFonts w:ascii="Times New Roman" w:hAnsi="Times New Roman" w:cs="Times New Roman"/>
          <w:b/>
          <w:color w:val="000000"/>
        </w:rPr>
        <w:t>€</w:t>
      </w:r>
      <w:r w:rsidR="00F030A6" w:rsidRPr="00A051F5">
        <w:rPr>
          <w:rFonts w:ascii="Times New Roman" w:hAnsi="Times New Roman" w:cs="Times New Roman"/>
          <w:b/>
          <w:color w:val="000000"/>
        </w:rPr>
        <w:t>)</w:t>
      </w:r>
      <w:r w:rsidR="00F231A8" w:rsidRPr="00A051F5">
        <w:rPr>
          <w:rFonts w:ascii="Times New Roman" w:hAnsi="Times New Roman" w:cs="Times New Roman"/>
          <w:b/>
          <w:color w:val="000000"/>
        </w:rPr>
        <w:t>,</w:t>
      </w:r>
      <w:r w:rsidR="00F231A8" w:rsidRPr="000750E4">
        <w:rPr>
          <w:rFonts w:ascii="Times New Roman" w:hAnsi="Times New Roman" w:cs="Times New Roman"/>
          <w:color w:val="000000"/>
        </w:rPr>
        <w:t xml:space="preserve"> </w:t>
      </w:r>
      <w:r w:rsidR="00F231A8" w:rsidRPr="00CF0A00">
        <w:rPr>
          <w:rFonts w:ascii="Times New Roman" w:hAnsi="Times New Roman" w:cs="Times New Roman"/>
          <w:color w:val="000000"/>
        </w:rPr>
        <w:t xml:space="preserve">čo bolo </w:t>
      </w:r>
      <w:r w:rsidR="00201D49" w:rsidRPr="00CF0A00">
        <w:rPr>
          <w:rFonts w:ascii="Times New Roman" w:hAnsi="Times New Roman" w:cs="Times New Roman"/>
          <w:color w:val="000000"/>
        </w:rPr>
        <w:t>menej</w:t>
      </w:r>
      <w:r w:rsidR="00F030A6" w:rsidRPr="00CF0A00">
        <w:rPr>
          <w:rFonts w:ascii="Times New Roman" w:hAnsi="Times New Roman" w:cs="Times New Roman"/>
          <w:color w:val="000000"/>
        </w:rPr>
        <w:t xml:space="preserve"> o</w:t>
      </w:r>
      <w:r w:rsidR="00201D49" w:rsidRPr="00CF0A00">
        <w:rPr>
          <w:rFonts w:ascii="Times New Roman" w:hAnsi="Times New Roman" w:cs="Times New Roman"/>
          <w:color w:val="000000"/>
        </w:rPr>
        <w:t xml:space="preserve"> 11.569€ oproti schválenému rozpočtu, </w:t>
      </w:r>
      <w:r w:rsidR="00AB3A38" w:rsidRPr="00CF0A00">
        <w:rPr>
          <w:rFonts w:ascii="Times New Roman" w:hAnsi="Times New Roman" w:cs="Times New Roman"/>
          <w:color w:val="000000"/>
        </w:rPr>
        <w:t> </w:t>
      </w:r>
      <w:r w:rsidR="00201D49" w:rsidRPr="00CF0A00">
        <w:rPr>
          <w:rFonts w:ascii="Times New Roman" w:hAnsi="Times New Roman" w:cs="Times New Roman"/>
          <w:color w:val="000000"/>
        </w:rPr>
        <w:t xml:space="preserve">naplnený na 99,84%, </w:t>
      </w:r>
      <w:r w:rsidR="00AB3A38" w:rsidRPr="00CF0A00">
        <w:rPr>
          <w:rFonts w:ascii="Times New Roman" w:hAnsi="Times New Roman" w:cs="Times New Roman"/>
          <w:color w:val="000000"/>
        </w:rPr>
        <w:t>(</w:t>
      </w:r>
      <w:r w:rsidR="00201D49">
        <w:rPr>
          <w:rFonts w:ascii="Times New Roman" w:hAnsi="Times New Roman" w:cs="Times New Roman"/>
          <w:color w:val="000000"/>
        </w:rPr>
        <w:t>rozdiel</w:t>
      </w:r>
      <w:r w:rsidR="00CF0A00">
        <w:rPr>
          <w:rFonts w:ascii="Times New Roman" w:hAnsi="Times New Roman" w:cs="Times New Roman"/>
          <w:color w:val="000000"/>
        </w:rPr>
        <w:t xml:space="preserve"> skutočnosti</w:t>
      </w:r>
      <w:r w:rsidR="00201D49">
        <w:rPr>
          <w:rFonts w:ascii="Times New Roman" w:hAnsi="Times New Roman" w:cs="Times New Roman"/>
          <w:color w:val="000000"/>
        </w:rPr>
        <w:t xml:space="preserve"> r. 2019/2018 +699.463€, </w:t>
      </w:r>
      <w:r w:rsidR="00AB3A38">
        <w:rPr>
          <w:rFonts w:ascii="Times New Roman" w:hAnsi="Times New Roman" w:cs="Times New Roman"/>
          <w:color w:val="000000"/>
        </w:rPr>
        <w:t>r.2018/2017 +</w:t>
      </w:r>
      <w:r w:rsidR="00CA3498">
        <w:rPr>
          <w:rFonts w:ascii="Times New Roman" w:hAnsi="Times New Roman" w:cs="Times New Roman"/>
          <w:color w:val="000000"/>
        </w:rPr>
        <w:t xml:space="preserve">611.559€ </w:t>
      </w:r>
      <w:r w:rsidR="00AB3A38">
        <w:rPr>
          <w:rFonts w:ascii="Times New Roman" w:hAnsi="Times New Roman" w:cs="Times New Roman"/>
          <w:color w:val="000000"/>
        </w:rPr>
        <w:t>r.2017/2016 +</w:t>
      </w:r>
      <w:r w:rsidR="00201D49">
        <w:rPr>
          <w:rFonts w:ascii="Times New Roman" w:hAnsi="Times New Roman" w:cs="Times New Roman"/>
          <w:color w:val="000000"/>
        </w:rPr>
        <w:t>404997</w:t>
      </w:r>
      <w:r w:rsidR="00CA3498">
        <w:rPr>
          <w:rFonts w:ascii="Times New Roman" w:hAnsi="Times New Roman" w:cs="Times New Roman"/>
          <w:color w:val="000000"/>
        </w:rPr>
        <w:t>€</w:t>
      </w:r>
      <w:r w:rsidR="00CF0A00">
        <w:rPr>
          <w:rFonts w:ascii="Times New Roman" w:hAnsi="Times New Roman" w:cs="Times New Roman"/>
          <w:color w:val="000000"/>
        </w:rPr>
        <w:t xml:space="preserve">). </w:t>
      </w:r>
      <w:r w:rsidR="00023C60" w:rsidRPr="000750E4">
        <w:rPr>
          <w:rFonts w:ascii="Times New Roman" w:hAnsi="Times New Roman" w:cs="Times New Roman"/>
          <w:color w:val="000000"/>
        </w:rPr>
        <w:t xml:space="preserve">Daň z príjmov fyzických osôb poukazovaná mestám a obciam zo ŠR SR, tzv. podielová daň zo ŠR predstavuje pre mesto </w:t>
      </w:r>
      <w:r w:rsidR="007500B1" w:rsidRPr="00680F43">
        <w:rPr>
          <w:rFonts w:ascii="Times New Roman" w:hAnsi="Times New Roman" w:cs="Times New Roman"/>
          <w:b/>
          <w:color w:val="000000"/>
        </w:rPr>
        <w:t>59,43</w:t>
      </w:r>
      <w:r w:rsidR="00CF0A00" w:rsidRPr="00680F43">
        <w:rPr>
          <w:rFonts w:ascii="Times New Roman" w:hAnsi="Times New Roman" w:cs="Times New Roman"/>
          <w:b/>
          <w:color w:val="000000"/>
        </w:rPr>
        <w:t xml:space="preserve">% </w:t>
      </w:r>
      <w:r w:rsidR="00CA3498" w:rsidRPr="00680F43">
        <w:rPr>
          <w:rFonts w:ascii="Times New Roman" w:hAnsi="Times New Roman" w:cs="Times New Roman"/>
          <w:b/>
          <w:color w:val="000000"/>
        </w:rPr>
        <w:t>(</w:t>
      </w:r>
      <w:r w:rsidR="00CF0A00" w:rsidRPr="00680F43">
        <w:rPr>
          <w:rFonts w:ascii="Times New Roman" w:hAnsi="Times New Roman" w:cs="Times New Roman"/>
          <w:b/>
          <w:color w:val="000000"/>
        </w:rPr>
        <w:t xml:space="preserve">r.2018 52,08%, </w:t>
      </w:r>
      <w:r w:rsidR="00CA3498" w:rsidRPr="00680F43">
        <w:rPr>
          <w:rFonts w:ascii="Times New Roman" w:hAnsi="Times New Roman" w:cs="Times New Roman"/>
          <w:b/>
          <w:color w:val="000000"/>
        </w:rPr>
        <w:t xml:space="preserve">r.2017 </w:t>
      </w:r>
      <w:r w:rsidR="00023C60" w:rsidRPr="00680F43">
        <w:rPr>
          <w:rFonts w:ascii="Times New Roman" w:hAnsi="Times New Roman" w:cs="Times New Roman"/>
          <w:b/>
          <w:color w:val="000000"/>
        </w:rPr>
        <w:t>54,</w:t>
      </w:r>
      <w:r w:rsidR="00F2378F" w:rsidRPr="00680F43">
        <w:rPr>
          <w:rFonts w:ascii="Times New Roman" w:hAnsi="Times New Roman" w:cs="Times New Roman"/>
          <w:b/>
          <w:color w:val="000000"/>
        </w:rPr>
        <w:t>60</w:t>
      </w:r>
      <w:r w:rsidR="00CA3498" w:rsidRPr="00680F43">
        <w:rPr>
          <w:rFonts w:ascii="Times New Roman" w:hAnsi="Times New Roman" w:cs="Times New Roman"/>
          <w:b/>
          <w:color w:val="000000"/>
        </w:rPr>
        <w:t xml:space="preserve">%) z </w:t>
      </w:r>
      <w:r w:rsidR="00023C60" w:rsidRPr="00680F43">
        <w:rPr>
          <w:rFonts w:ascii="Times New Roman" w:hAnsi="Times New Roman" w:cs="Times New Roman"/>
          <w:b/>
          <w:color w:val="000000"/>
        </w:rPr>
        <w:t>celkových skutočných bežných príjmov</w:t>
      </w:r>
      <w:r w:rsidR="00023C60" w:rsidRPr="000750E4">
        <w:rPr>
          <w:rFonts w:ascii="Times New Roman" w:hAnsi="Times New Roman" w:cs="Times New Roman"/>
          <w:color w:val="000000"/>
        </w:rPr>
        <w:t xml:space="preserve">. </w:t>
      </w:r>
      <w:r w:rsidR="00023C60" w:rsidRPr="000750E4">
        <w:rPr>
          <w:rFonts w:ascii="Times New Roman" w:hAnsi="Times New Roman" w:cs="Times New Roman"/>
          <w:b/>
          <w:color w:val="000000"/>
        </w:rPr>
        <w:t>Plnenie tohto príjmu sa vyvíja</w:t>
      </w:r>
      <w:r w:rsidR="00D149DC" w:rsidRPr="000750E4">
        <w:rPr>
          <w:rFonts w:ascii="Times New Roman" w:hAnsi="Times New Roman" w:cs="Times New Roman"/>
          <w:b/>
          <w:color w:val="000000"/>
        </w:rPr>
        <w:t>lo</w:t>
      </w:r>
      <w:r w:rsidR="00023C60" w:rsidRPr="000750E4">
        <w:rPr>
          <w:rFonts w:ascii="Times New Roman" w:hAnsi="Times New Roman" w:cs="Times New Roman"/>
          <w:b/>
          <w:color w:val="000000"/>
        </w:rPr>
        <w:t xml:space="preserve"> veľmi priaznivo. </w:t>
      </w:r>
    </w:p>
    <w:p w:rsidR="006375D2" w:rsidRDefault="006375D2" w:rsidP="00E2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</w:rPr>
      </w:pPr>
    </w:p>
    <w:p w:rsidR="006375D2" w:rsidRPr="006375D2" w:rsidRDefault="006375D2" w:rsidP="00E2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375D2">
        <w:rPr>
          <w:rFonts w:ascii="Times New Roman" w:hAnsi="Times New Roman" w:cs="Times New Roman"/>
          <w:color w:val="000000"/>
        </w:rPr>
        <w:t>Prehľad vývoja podiel</w:t>
      </w:r>
      <w:r>
        <w:rPr>
          <w:rFonts w:ascii="Times New Roman" w:hAnsi="Times New Roman" w:cs="Times New Roman"/>
          <w:color w:val="000000"/>
        </w:rPr>
        <w:t>ových d</w:t>
      </w:r>
      <w:r w:rsidRPr="006375D2">
        <w:rPr>
          <w:rFonts w:ascii="Times New Roman" w:hAnsi="Times New Roman" w:cs="Times New Roman"/>
          <w:color w:val="000000"/>
        </w:rPr>
        <w:t>aní v prepočte na obyvateľa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6375D2">
        <w:rPr>
          <w:rFonts w:ascii="Times New Roman" w:hAnsi="Times New Roman" w:cs="Times New Roman"/>
          <w:sz w:val="16"/>
          <w:szCs w:val="16"/>
        </w:rPr>
        <w:t xml:space="preserve"> tab. č. 2</w:t>
      </w:r>
    </w:p>
    <w:tbl>
      <w:tblPr>
        <w:tblStyle w:val="Obyajntabuka1"/>
        <w:tblW w:w="9583" w:type="dxa"/>
        <w:tblLook w:val="04A0" w:firstRow="1" w:lastRow="0" w:firstColumn="1" w:lastColumn="0" w:noHBand="0" w:noVBand="1"/>
      </w:tblPr>
      <w:tblGrid>
        <w:gridCol w:w="1555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</w:tblGrid>
      <w:tr w:rsidR="00CF0A00" w:rsidTr="00750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CF0A00" w:rsidRPr="006375D2" w:rsidRDefault="00CF0A00" w:rsidP="00CF0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spacing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2011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2012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2013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2014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2015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2016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2017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2018</w:t>
            </w:r>
          </w:p>
        </w:tc>
        <w:tc>
          <w:tcPr>
            <w:tcW w:w="892" w:type="dxa"/>
            <w:vAlign w:val="center"/>
          </w:tcPr>
          <w:p w:rsidR="00CF0A00" w:rsidRPr="008D41BD" w:rsidRDefault="00CF0A00" w:rsidP="00CF0A00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Cs w:val="0"/>
                <w:sz w:val="16"/>
                <w:szCs w:val="16"/>
              </w:rPr>
              <w:t>9</w:t>
            </w:r>
          </w:p>
        </w:tc>
      </w:tr>
      <w:tr w:rsidR="00CF0A00" w:rsidRPr="006375D2" w:rsidTr="00CF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CF0A00" w:rsidRPr="006375D2" w:rsidRDefault="00CF0A00" w:rsidP="00CF0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6375D2">
              <w:rPr>
                <w:rFonts w:ascii="Times New Roman" w:hAnsi="Times New Roman" w:cs="Times New Roman"/>
                <w:bCs w:val="0"/>
                <w:sz w:val="16"/>
                <w:szCs w:val="16"/>
              </w:rPr>
              <w:t>počet obyvateľov k 31.12.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16 336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16 224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16 222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16 238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16 221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16 185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16 192</w:t>
            </w:r>
          </w:p>
        </w:tc>
        <w:tc>
          <w:tcPr>
            <w:tcW w:w="892" w:type="dxa"/>
          </w:tcPr>
          <w:p w:rsidR="00CF0A00" w:rsidRPr="00CF0A00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0A00">
              <w:rPr>
                <w:rFonts w:ascii="Times New Roman" w:hAnsi="Times New Roman" w:cs="Times New Roman"/>
                <w:sz w:val="16"/>
                <w:szCs w:val="16"/>
              </w:rPr>
              <w:t>16 157</w:t>
            </w:r>
          </w:p>
        </w:tc>
        <w:tc>
          <w:tcPr>
            <w:tcW w:w="892" w:type="dxa"/>
          </w:tcPr>
          <w:p w:rsidR="00CF0A00" w:rsidRPr="008D41BD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41BD">
              <w:rPr>
                <w:rFonts w:ascii="Times New Roman" w:hAnsi="Times New Roman" w:cs="Times New Roman"/>
                <w:b/>
                <w:sz w:val="16"/>
                <w:szCs w:val="16"/>
              </w:rPr>
              <w:t>16 15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F0A00" w:rsidRPr="006375D2" w:rsidTr="00CF0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CF0A00" w:rsidRPr="006375D2" w:rsidRDefault="00CF0A00" w:rsidP="00CF0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6375D2">
              <w:rPr>
                <w:rFonts w:ascii="Times New Roman" w:hAnsi="Times New Roman" w:cs="Times New Roman"/>
                <w:bCs w:val="0"/>
                <w:sz w:val="16"/>
                <w:szCs w:val="16"/>
              </w:rPr>
              <w:t>podielové dane/obyvateľ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227,63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233,42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244,94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255,88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288,13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331,32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356,19</w:t>
            </w:r>
          </w:p>
        </w:tc>
        <w:tc>
          <w:tcPr>
            <w:tcW w:w="892" w:type="dxa"/>
          </w:tcPr>
          <w:p w:rsidR="00CF0A00" w:rsidRPr="00CF0A00" w:rsidRDefault="00CF0A00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0A00">
              <w:rPr>
                <w:rFonts w:ascii="Times New Roman" w:hAnsi="Times New Roman" w:cs="Times New Roman"/>
                <w:sz w:val="16"/>
                <w:szCs w:val="16"/>
              </w:rPr>
              <w:t>394,81</w:t>
            </w:r>
          </w:p>
        </w:tc>
        <w:tc>
          <w:tcPr>
            <w:tcW w:w="892" w:type="dxa"/>
          </w:tcPr>
          <w:p w:rsidR="00CF0A00" w:rsidRPr="008D41BD" w:rsidRDefault="007F3B25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438,13</w:t>
            </w:r>
          </w:p>
        </w:tc>
      </w:tr>
      <w:tr w:rsidR="00CF0A00" w:rsidRPr="006375D2" w:rsidTr="00CF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CF0A00" w:rsidRPr="006375D2" w:rsidRDefault="00CF0A00" w:rsidP="00CF0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rozdiel v rokoch </w:t>
            </w:r>
          </w:p>
        </w:tc>
        <w:tc>
          <w:tcPr>
            <w:tcW w:w="892" w:type="dxa"/>
          </w:tcPr>
          <w:p w:rsidR="00CF0A00" w:rsidRPr="009744A8" w:rsidRDefault="00CF0A00" w:rsidP="00CF0A00">
            <w:pPr>
              <w:pStyle w:val="Odsekzoznamu"/>
              <w:numPr>
                <w:ilvl w:val="0"/>
                <w:numId w:val="3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5,79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11,53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10,94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32,25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43,19</w:t>
            </w:r>
          </w:p>
        </w:tc>
        <w:tc>
          <w:tcPr>
            <w:tcW w:w="892" w:type="dxa"/>
          </w:tcPr>
          <w:p w:rsidR="00CF0A00" w:rsidRPr="006D7CE5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24,87</w:t>
            </w:r>
          </w:p>
        </w:tc>
        <w:tc>
          <w:tcPr>
            <w:tcW w:w="892" w:type="dxa"/>
          </w:tcPr>
          <w:p w:rsidR="00CF0A00" w:rsidRPr="00CF0A00" w:rsidRDefault="00CF0A00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0A00">
              <w:rPr>
                <w:rFonts w:ascii="Times New Roman" w:hAnsi="Times New Roman" w:cs="Times New Roman"/>
                <w:sz w:val="16"/>
                <w:szCs w:val="16"/>
              </w:rPr>
              <w:t>38,62</w:t>
            </w:r>
          </w:p>
        </w:tc>
        <w:tc>
          <w:tcPr>
            <w:tcW w:w="892" w:type="dxa"/>
          </w:tcPr>
          <w:p w:rsidR="00CF0A00" w:rsidRPr="008D41BD" w:rsidRDefault="007F3B25" w:rsidP="00CF0A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43,32</w:t>
            </w:r>
          </w:p>
        </w:tc>
      </w:tr>
      <w:tr w:rsidR="00CF0A00" w:rsidRPr="006375D2" w:rsidTr="00CF0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CF0A00" w:rsidRDefault="00CF0A00" w:rsidP="00CF0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 w:val="0"/>
                <w:sz w:val="16"/>
                <w:szCs w:val="16"/>
              </w:rPr>
              <w:t>%-</w:t>
            </w:r>
            <w:proofErr w:type="spellStart"/>
            <w:r>
              <w:rPr>
                <w:rFonts w:ascii="Times New Roman" w:hAnsi="Times New Roman" w:cs="Times New Roman"/>
                <w:bCs w:val="0"/>
                <w:sz w:val="16"/>
                <w:szCs w:val="16"/>
              </w:rPr>
              <w:t>ny</w:t>
            </w:r>
            <w:proofErr w:type="spellEnd"/>
            <w:r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 nárast </w:t>
            </w:r>
          </w:p>
        </w:tc>
        <w:tc>
          <w:tcPr>
            <w:tcW w:w="892" w:type="dxa"/>
          </w:tcPr>
          <w:p w:rsidR="00CF0A00" w:rsidRPr="009744A8" w:rsidRDefault="00CF0A00" w:rsidP="00CF0A00">
            <w:pPr>
              <w:pStyle w:val="Odsekzoznamu"/>
              <w:numPr>
                <w:ilvl w:val="0"/>
                <w:numId w:val="3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</w:tcPr>
          <w:p w:rsidR="00CF0A00" w:rsidRPr="006D7CE5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2,54</w:t>
            </w:r>
          </w:p>
        </w:tc>
        <w:tc>
          <w:tcPr>
            <w:tcW w:w="892" w:type="dxa"/>
          </w:tcPr>
          <w:p w:rsidR="00CF0A00" w:rsidRPr="006D7CE5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4,94</w:t>
            </w:r>
          </w:p>
        </w:tc>
        <w:tc>
          <w:tcPr>
            <w:tcW w:w="892" w:type="dxa"/>
          </w:tcPr>
          <w:p w:rsidR="00CF0A00" w:rsidRPr="006D7CE5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  <w:r w:rsidR="00CF0A00" w:rsidRPr="006D7CE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92" w:type="dxa"/>
          </w:tcPr>
          <w:p w:rsidR="00CF0A00" w:rsidRPr="006D7CE5" w:rsidRDefault="00CF0A00" w:rsidP="00BB58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58F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B58F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92" w:type="dxa"/>
          </w:tcPr>
          <w:p w:rsidR="00CF0A00" w:rsidRPr="006D7CE5" w:rsidRDefault="00CF0A00" w:rsidP="00BB58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58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D7CE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B58FA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892" w:type="dxa"/>
          </w:tcPr>
          <w:p w:rsidR="00CF0A00" w:rsidRPr="006D7CE5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7,51</w:t>
            </w:r>
          </w:p>
        </w:tc>
        <w:tc>
          <w:tcPr>
            <w:tcW w:w="892" w:type="dxa"/>
          </w:tcPr>
          <w:p w:rsidR="00CF0A00" w:rsidRPr="00CF0A00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10,84</w:t>
            </w:r>
          </w:p>
        </w:tc>
        <w:tc>
          <w:tcPr>
            <w:tcW w:w="892" w:type="dxa"/>
          </w:tcPr>
          <w:p w:rsidR="00CF0A00" w:rsidRPr="008D41BD" w:rsidRDefault="00BB58FA" w:rsidP="00CF0A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10,97</w:t>
            </w:r>
          </w:p>
        </w:tc>
      </w:tr>
    </w:tbl>
    <w:p w:rsidR="00CA3498" w:rsidRPr="000750E4" w:rsidRDefault="00CA3498" w:rsidP="00E2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</w:rPr>
      </w:pPr>
    </w:p>
    <w:p w:rsidR="002765FB" w:rsidRPr="00FC7C47" w:rsidRDefault="00A80987" w:rsidP="00F231A8">
      <w:pPr>
        <w:pStyle w:val="Default"/>
        <w:ind w:firstLine="708"/>
        <w:jc w:val="both"/>
        <w:rPr>
          <w:b/>
          <w:bCs/>
          <w:i/>
          <w:sz w:val="22"/>
          <w:szCs w:val="22"/>
        </w:rPr>
      </w:pPr>
      <w:r w:rsidRPr="000750E4">
        <w:rPr>
          <w:b/>
          <w:bCs/>
          <w:sz w:val="22"/>
          <w:szCs w:val="22"/>
        </w:rPr>
        <w:t xml:space="preserve">Na základe uvedeného </w:t>
      </w:r>
      <w:r w:rsidR="00A005E9" w:rsidRPr="000750E4">
        <w:rPr>
          <w:b/>
          <w:bCs/>
          <w:sz w:val="22"/>
          <w:szCs w:val="22"/>
        </w:rPr>
        <w:t>je možné konštatovať</w:t>
      </w:r>
      <w:r w:rsidRPr="000750E4">
        <w:rPr>
          <w:b/>
          <w:bCs/>
          <w:sz w:val="22"/>
          <w:szCs w:val="22"/>
        </w:rPr>
        <w:t xml:space="preserve">, že spracovatelia rozpočtu pri zostavovaní </w:t>
      </w:r>
      <w:r w:rsidR="002765FB" w:rsidRPr="000750E4">
        <w:rPr>
          <w:b/>
          <w:bCs/>
          <w:sz w:val="22"/>
          <w:szCs w:val="22"/>
        </w:rPr>
        <w:t xml:space="preserve">bežných príjmov </w:t>
      </w:r>
      <w:r w:rsidR="009E0712" w:rsidRPr="000750E4">
        <w:rPr>
          <w:b/>
          <w:bCs/>
          <w:sz w:val="22"/>
          <w:szCs w:val="22"/>
        </w:rPr>
        <w:t>pracovali s kvalifikovanými predpokladmi a výpočtami</w:t>
      </w:r>
      <w:r w:rsidRPr="000750E4">
        <w:rPr>
          <w:b/>
          <w:bCs/>
          <w:sz w:val="22"/>
          <w:szCs w:val="22"/>
        </w:rPr>
        <w:t xml:space="preserve">, </w:t>
      </w:r>
      <w:r w:rsidR="002765FB" w:rsidRPr="000750E4">
        <w:rPr>
          <w:b/>
          <w:bCs/>
          <w:sz w:val="22"/>
          <w:szCs w:val="22"/>
        </w:rPr>
        <w:t xml:space="preserve">oproti poslednej zmene rozpočtu bežné príjmy </w:t>
      </w:r>
      <w:r w:rsidR="00A005E9" w:rsidRPr="000750E4">
        <w:rPr>
          <w:b/>
          <w:bCs/>
          <w:sz w:val="22"/>
          <w:szCs w:val="22"/>
        </w:rPr>
        <w:t xml:space="preserve">prekonali </w:t>
      </w:r>
      <w:r w:rsidR="002765FB" w:rsidRPr="000750E4">
        <w:rPr>
          <w:b/>
          <w:bCs/>
          <w:sz w:val="22"/>
          <w:szCs w:val="22"/>
        </w:rPr>
        <w:t>predpokladanú úroveň</w:t>
      </w:r>
      <w:r w:rsidR="00A7604A">
        <w:rPr>
          <w:b/>
          <w:bCs/>
          <w:sz w:val="22"/>
          <w:szCs w:val="22"/>
        </w:rPr>
        <w:t xml:space="preserve">, čoho následkom bolo </w:t>
      </w:r>
      <w:r w:rsidR="00A005E9" w:rsidRPr="000750E4">
        <w:rPr>
          <w:b/>
          <w:bCs/>
          <w:sz w:val="22"/>
          <w:szCs w:val="22"/>
        </w:rPr>
        <w:t>dosiahnutie dodatočných</w:t>
      </w:r>
      <w:r w:rsidR="002765FB" w:rsidRPr="000750E4">
        <w:rPr>
          <w:b/>
          <w:bCs/>
          <w:sz w:val="22"/>
          <w:szCs w:val="22"/>
        </w:rPr>
        <w:t xml:space="preserve"> príjmov vo výške </w:t>
      </w:r>
      <w:r w:rsidR="00BB58FA">
        <w:rPr>
          <w:b/>
          <w:bCs/>
          <w:sz w:val="22"/>
          <w:szCs w:val="22"/>
        </w:rPr>
        <w:t>11.569€ (r.2018</w:t>
      </w:r>
      <w:r w:rsidR="000D3A24">
        <w:rPr>
          <w:b/>
          <w:bCs/>
          <w:sz w:val="22"/>
          <w:szCs w:val="22"/>
        </w:rPr>
        <w:t xml:space="preserve"> </w:t>
      </w:r>
      <w:r w:rsidR="00BB58FA">
        <w:rPr>
          <w:b/>
          <w:bCs/>
          <w:sz w:val="22"/>
          <w:szCs w:val="22"/>
        </w:rPr>
        <w:t xml:space="preserve">100.812€, </w:t>
      </w:r>
      <w:r w:rsidR="008D41BD">
        <w:rPr>
          <w:b/>
          <w:bCs/>
          <w:sz w:val="22"/>
          <w:szCs w:val="22"/>
        </w:rPr>
        <w:t>r.</w:t>
      </w:r>
      <w:r w:rsidR="006375D2">
        <w:rPr>
          <w:b/>
          <w:bCs/>
          <w:sz w:val="22"/>
          <w:szCs w:val="22"/>
        </w:rPr>
        <w:t xml:space="preserve">2017 131.583€, </w:t>
      </w:r>
      <w:r w:rsidR="008D41BD">
        <w:rPr>
          <w:b/>
          <w:bCs/>
          <w:sz w:val="22"/>
          <w:szCs w:val="22"/>
        </w:rPr>
        <w:t>r.</w:t>
      </w:r>
      <w:r w:rsidR="00CB751F" w:rsidRPr="000750E4">
        <w:rPr>
          <w:b/>
          <w:bCs/>
          <w:sz w:val="22"/>
          <w:szCs w:val="22"/>
        </w:rPr>
        <w:t xml:space="preserve">2016 </w:t>
      </w:r>
      <w:r w:rsidR="00265F2D" w:rsidRPr="000750E4">
        <w:rPr>
          <w:b/>
          <w:sz w:val="22"/>
          <w:szCs w:val="22"/>
        </w:rPr>
        <w:t>468.999</w:t>
      </w:r>
      <w:r w:rsidR="00CB751F" w:rsidRPr="000750E4">
        <w:rPr>
          <w:b/>
          <w:sz w:val="22"/>
          <w:szCs w:val="22"/>
        </w:rPr>
        <w:t xml:space="preserve"> €).</w:t>
      </w:r>
      <w:r w:rsidR="00A005E9" w:rsidRPr="000750E4">
        <w:rPr>
          <w:b/>
          <w:sz w:val="22"/>
          <w:szCs w:val="22"/>
        </w:rPr>
        <w:t xml:space="preserve"> </w:t>
      </w:r>
      <w:r w:rsidR="00A7604A">
        <w:rPr>
          <w:b/>
          <w:sz w:val="22"/>
          <w:szCs w:val="22"/>
        </w:rPr>
        <w:t>Opakovane i</w:t>
      </w:r>
      <w:r w:rsidR="007D472B" w:rsidRPr="000750E4">
        <w:rPr>
          <w:b/>
          <w:sz w:val="22"/>
          <w:szCs w:val="22"/>
        </w:rPr>
        <w:t xml:space="preserve">de o výrazný posun v plnení príjmov, </w:t>
      </w:r>
      <w:r w:rsidR="007D472B" w:rsidRPr="000C3D33">
        <w:rPr>
          <w:b/>
          <w:sz w:val="22"/>
          <w:szCs w:val="22"/>
        </w:rPr>
        <w:t xml:space="preserve">keďže došlo k </w:t>
      </w:r>
      <w:r w:rsidR="00023C60" w:rsidRPr="000C3D33">
        <w:rPr>
          <w:b/>
          <w:sz w:val="22"/>
          <w:szCs w:val="22"/>
        </w:rPr>
        <w:t xml:space="preserve">zvýšeniu </w:t>
      </w:r>
      <w:r w:rsidR="007D472B" w:rsidRPr="000C3D33">
        <w:rPr>
          <w:b/>
          <w:sz w:val="22"/>
          <w:szCs w:val="22"/>
        </w:rPr>
        <w:t xml:space="preserve">príjmov </w:t>
      </w:r>
      <w:r w:rsidR="00023C60" w:rsidRPr="000C3D33">
        <w:rPr>
          <w:b/>
          <w:sz w:val="22"/>
          <w:szCs w:val="22"/>
        </w:rPr>
        <w:t>u vlastných aj cudzích, bežných aj kapitálových príjmov.</w:t>
      </w:r>
      <w:r w:rsidR="00023C60" w:rsidRPr="000750E4">
        <w:rPr>
          <w:b/>
          <w:sz w:val="22"/>
          <w:szCs w:val="22"/>
        </w:rPr>
        <w:t xml:space="preserve"> </w:t>
      </w:r>
      <w:r w:rsidR="000C3D33">
        <w:rPr>
          <w:b/>
          <w:sz w:val="22"/>
          <w:szCs w:val="22"/>
        </w:rPr>
        <w:t>Dlhodobý n</w:t>
      </w:r>
      <w:r w:rsidR="00627EBE">
        <w:rPr>
          <w:b/>
          <w:sz w:val="22"/>
          <w:szCs w:val="22"/>
        </w:rPr>
        <w:t xml:space="preserve">árast podielových daní je možné sledovať aj v priemernom </w:t>
      </w:r>
      <w:r w:rsidR="006D7CE5">
        <w:rPr>
          <w:b/>
          <w:sz w:val="22"/>
          <w:szCs w:val="22"/>
        </w:rPr>
        <w:t>z</w:t>
      </w:r>
      <w:r w:rsidR="00FC7C47">
        <w:rPr>
          <w:b/>
          <w:sz w:val="22"/>
          <w:szCs w:val="22"/>
        </w:rPr>
        <w:t xml:space="preserve">výšení v prepočte na obyvateľa </w:t>
      </w:r>
      <w:r w:rsidR="00FC7C47" w:rsidRPr="00FC7C47">
        <w:rPr>
          <w:b/>
          <w:i/>
          <w:sz w:val="22"/>
          <w:szCs w:val="22"/>
        </w:rPr>
        <w:t xml:space="preserve">(napr. pri zvýšení poštu obyvateľov o 100, nárast podielových daní o cca </w:t>
      </w:r>
      <w:r w:rsidR="00A7604A">
        <w:rPr>
          <w:b/>
          <w:i/>
          <w:sz w:val="22"/>
          <w:szCs w:val="22"/>
        </w:rPr>
        <w:t>43</w:t>
      </w:r>
      <w:r w:rsidR="00FC7C47" w:rsidRPr="00FC7C47">
        <w:rPr>
          <w:b/>
          <w:i/>
          <w:sz w:val="22"/>
          <w:szCs w:val="22"/>
        </w:rPr>
        <w:t xml:space="preserve">.000€). </w:t>
      </w:r>
    </w:p>
    <w:p w:rsidR="00CD5BB6" w:rsidRPr="000750E4" w:rsidRDefault="00CD5BB6" w:rsidP="00C113F5">
      <w:pPr>
        <w:pStyle w:val="Default"/>
        <w:jc w:val="both"/>
        <w:rPr>
          <w:sz w:val="22"/>
          <w:szCs w:val="22"/>
        </w:rPr>
      </w:pPr>
    </w:p>
    <w:p w:rsidR="00F37FC8" w:rsidRPr="000750E4" w:rsidRDefault="00F37FC8" w:rsidP="00C113F5">
      <w:pPr>
        <w:pStyle w:val="Default"/>
        <w:jc w:val="both"/>
        <w:rPr>
          <w:b/>
          <w:sz w:val="22"/>
          <w:szCs w:val="22"/>
        </w:rPr>
      </w:pPr>
      <w:r w:rsidRPr="000750E4">
        <w:rPr>
          <w:b/>
          <w:sz w:val="22"/>
          <w:szCs w:val="22"/>
        </w:rPr>
        <w:t xml:space="preserve">Plnenie rozpočtu bežných príjmov a kapitálových príjmov </w:t>
      </w:r>
    </w:p>
    <w:p w:rsidR="00F37FC8" w:rsidRPr="000750E4" w:rsidRDefault="00F37FC8" w:rsidP="00C113F5">
      <w:pPr>
        <w:pStyle w:val="Default"/>
        <w:jc w:val="both"/>
        <w:rPr>
          <w:sz w:val="22"/>
          <w:szCs w:val="22"/>
        </w:rPr>
      </w:pPr>
    </w:p>
    <w:p w:rsidR="00C113F5" w:rsidRPr="00896F71" w:rsidRDefault="00CD5BB6" w:rsidP="00C113F5">
      <w:pPr>
        <w:pStyle w:val="Default"/>
        <w:jc w:val="both"/>
        <w:rPr>
          <w:b/>
          <w:bCs/>
          <w:sz w:val="22"/>
          <w:szCs w:val="22"/>
        </w:rPr>
      </w:pPr>
      <w:r w:rsidRPr="000750E4">
        <w:rPr>
          <w:sz w:val="22"/>
          <w:szCs w:val="22"/>
        </w:rPr>
        <w:lastRenderedPageBreak/>
        <w:tab/>
      </w:r>
      <w:r w:rsidR="00A80987" w:rsidRPr="000750E4">
        <w:rPr>
          <w:sz w:val="22"/>
          <w:szCs w:val="22"/>
        </w:rPr>
        <w:t xml:space="preserve">Celkovo mesto zaznamenalo </w:t>
      </w:r>
      <w:r w:rsidR="002E7E02" w:rsidRPr="000750E4">
        <w:rPr>
          <w:sz w:val="22"/>
          <w:szCs w:val="22"/>
        </w:rPr>
        <w:t>plnenie v</w:t>
      </w:r>
      <w:r w:rsidR="00A80987" w:rsidRPr="000750E4">
        <w:rPr>
          <w:sz w:val="22"/>
          <w:szCs w:val="22"/>
        </w:rPr>
        <w:t xml:space="preserve">lastných </w:t>
      </w:r>
      <w:r w:rsidR="00D86B9E" w:rsidRPr="000750E4">
        <w:rPr>
          <w:sz w:val="22"/>
          <w:szCs w:val="22"/>
        </w:rPr>
        <w:t xml:space="preserve">bežných </w:t>
      </w:r>
      <w:r w:rsidR="00A80987" w:rsidRPr="000750E4">
        <w:rPr>
          <w:sz w:val="22"/>
          <w:szCs w:val="22"/>
        </w:rPr>
        <w:t xml:space="preserve">príjmov na </w:t>
      </w:r>
      <w:r w:rsidR="00D86B9E" w:rsidRPr="000750E4">
        <w:rPr>
          <w:sz w:val="22"/>
          <w:szCs w:val="22"/>
        </w:rPr>
        <w:t xml:space="preserve">úrovni </w:t>
      </w:r>
      <w:r w:rsidR="00A7604A">
        <w:rPr>
          <w:sz w:val="22"/>
          <w:szCs w:val="22"/>
        </w:rPr>
        <w:t xml:space="preserve">63,16% (r.2018 64,87%, </w:t>
      </w:r>
      <w:r w:rsidR="006D7CE5">
        <w:rPr>
          <w:sz w:val="22"/>
          <w:szCs w:val="22"/>
        </w:rPr>
        <w:t>r.2017 69,00%, r.</w:t>
      </w:r>
      <w:r w:rsidR="0098133E" w:rsidRPr="000750E4">
        <w:rPr>
          <w:sz w:val="22"/>
          <w:szCs w:val="22"/>
        </w:rPr>
        <w:t xml:space="preserve">2016 </w:t>
      </w:r>
      <w:r w:rsidR="00265F2D" w:rsidRPr="000750E4">
        <w:rPr>
          <w:sz w:val="22"/>
          <w:szCs w:val="22"/>
        </w:rPr>
        <w:t xml:space="preserve">69,61 </w:t>
      </w:r>
      <w:r w:rsidR="00A80987" w:rsidRPr="000750E4">
        <w:rPr>
          <w:sz w:val="22"/>
          <w:szCs w:val="22"/>
        </w:rPr>
        <w:t>%</w:t>
      </w:r>
      <w:r w:rsidR="0098133E" w:rsidRPr="000750E4">
        <w:rPr>
          <w:sz w:val="22"/>
          <w:szCs w:val="22"/>
        </w:rPr>
        <w:t>)</w:t>
      </w:r>
      <w:r w:rsidR="009A4157" w:rsidRPr="000750E4">
        <w:rPr>
          <w:sz w:val="22"/>
          <w:szCs w:val="22"/>
        </w:rPr>
        <w:t xml:space="preserve"> </w:t>
      </w:r>
      <w:r w:rsidR="00576BBF" w:rsidRPr="000750E4">
        <w:rPr>
          <w:sz w:val="22"/>
          <w:szCs w:val="22"/>
        </w:rPr>
        <w:t xml:space="preserve">z celkových </w:t>
      </w:r>
      <w:r w:rsidRPr="000750E4">
        <w:rPr>
          <w:sz w:val="22"/>
          <w:szCs w:val="22"/>
        </w:rPr>
        <w:t>bežných</w:t>
      </w:r>
      <w:r w:rsidR="00576BBF" w:rsidRPr="000750E4">
        <w:rPr>
          <w:sz w:val="22"/>
          <w:szCs w:val="22"/>
        </w:rPr>
        <w:t xml:space="preserve"> príjmov, cudzích bežných príjmov na úrovni </w:t>
      </w:r>
      <w:r w:rsidR="00A7604A">
        <w:rPr>
          <w:sz w:val="22"/>
          <w:szCs w:val="22"/>
        </w:rPr>
        <w:t xml:space="preserve">36,84% (r.2018 35,13%, </w:t>
      </w:r>
      <w:r w:rsidR="006D7CE5">
        <w:rPr>
          <w:sz w:val="22"/>
          <w:szCs w:val="22"/>
        </w:rPr>
        <w:t xml:space="preserve">r.2017 31,00%, </w:t>
      </w:r>
      <w:r w:rsidR="005F59FE">
        <w:rPr>
          <w:sz w:val="22"/>
          <w:szCs w:val="22"/>
        </w:rPr>
        <w:t>r.</w:t>
      </w:r>
      <w:r w:rsidR="0098133E" w:rsidRPr="000750E4">
        <w:rPr>
          <w:sz w:val="22"/>
          <w:szCs w:val="22"/>
        </w:rPr>
        <w:t xml:space="preserve">2016 </w:t>
      </w:r>
      <w:r w:rsidR="00576BBF" w:rsidRPr="000750E4">
        <w:rPr>
          <w:sz w:val="22"/>
          <w:szCs w:val="22"/>
        </w:rPr>
        <w:t>3</w:t>
      </w:r>
      <w:r w:rsidR="00265F2D" w:rsidRPr="000750E4">
        <w:rPr>
          <w:sz w:val="22"/>
          <w:szCs w:val="22"/>
        </w:rPr>
        <w:t>0</w:t>
      </w:r>
      <w:r w:rsidR="00576BBF" w:rsidRPr="000750E4">
        <w:rPr>
          <w:sz w:val="22"/>
          <w:szCs w:val="22"/>
        </w:rPr>
        <w:t>,</w:t>
      </w:r>
      <w:r w:rsidR="00265F2D" w:rsidRPr="000750E4">
        <w:rPr>
          <w:sz w:val="22"/>
          <w:szCs w:val="22"/>
        </w:rPr>
        <w:t>39</w:t>
      </w:r>
      <w:r w:rsidR="0098133E" w:rsidRPr="000750E4">
        <w:rPr>
          <w:sz w:val="22"/>
          <w:szCs w:val="22"/>
        </w:rPr>
        <w:t xml:space="preserve">%) </w:t>
      </w:r>
      <w:r w:rsidR="00576BBF" w:rsidRPr="000750E4">
        <w:rPr>
          <w:sz w:val="22"/>
          <w:szCs w:val="22"/>
        </w:rPr>
        <w:t xml:space="preserve">z celkových bežných príjmov, </w:t>
      </w:r>
      <w:r w:rsidR="009A4157" w:rsidRPr="000750E4">
        <w:rPr>
          <w:sz w:val="22"/>
          <w:szCs w:val="22"/>
        </w:rPr>
        <w:t>vlastn</w:t>
      </w:r>
      <w:r w:rsidR="00576BBF" w:rsidRPr="000750E4">
        <w:rPr>
          <w:sz w:val="22"/>
          <w:szCs w:val="22"/>
        </w:rPr>
        <w:t>ých</w:t>
      </w:r>
      <w:r w:rsidR="009A4157" w:rsidRPr="000750E4">
        <w:rPr>
          <w:sz w:val="22"/>
          <w:szCs w:val="22"/>
        </w:rPr>
        <w:t xml:space="preserve"> príjm</w:t>
      </w:r>
      <w:r w:rsidR="00576BBF" w:rsidRPr="000750E4">
        <w:rPr>
          <w:sz w:val="22"/>
          <w:szCs w:val="22"/>
        </w:rPr>
        <w:t>ov</w:t>
      </w:r>
      <w:r w:rsidR="009A4157" w:rsidRPr="000750E4">
        <w:rPr>
          <w:sz w:val="22"/>
          <w:szCs w:val="22"/>
        </w:rPr>
        <w:t xml:space="preserve"> kapitálového rozpočtu </w:t>
      </w:r>
      <w:r w:rsidR="00576BBF" w:rsidRPr="000750E4">
        <w:rPr>
          <w:sz w:val="22"/>
          <w:szCs w:val="22"/>
        </w:rPr>
        <w:t xml:space="preserve">na úrovni </w:t>
      </w:r>
      <w:r w:rsidR="005F59FE">
        <w:rPr>
          <w:sz w:val="22"/>
          <w:szCs w:val="22"/>
        </w:rPr>
        <w:t xml:space="preserve">21,7% (r. </w:t>
      </w:r>
      <w:r w:rsidR="0017228F">
        <w:rPr>
          <w:sz w:val="22"/>
          <w:szCs w:val="22"/>
        </w:rPr>
        <w:t>76,24</w:t>
      </w:r>
      <w:r w:rsidR="006D7CE5">
        <w:rPr>
          <w:sz w:val="22"/>
          <w:szCs w:val="22"/>
        </w:rPr>
        <w:t xml:space="preserve">% (r.2017 84,92%, </w:t>
      </w:r>
      <w:r w:rsidR="0098133E" w:rsidRPr="000750E4">
        <w:rPr>
          <w:sz w:val="22"/>
          <w:szCs w:val="22"/>
        </w:rPr>
        <w:t xml:space="preserve">r.2016 </w:t>
      </w:r>
      <w:r w:rsidR="00265F2D" w:rsidRPr="000750E4">
        <w:rPr>
          <w:sz w:val="22"/>
          <w:szCs w:val="22"/>
        </w:rPr>
        <w:t>20,93</w:t>
      </w:r>
      <w:r w:rsidR="00576BBF" w:rsidRPr="000750E4">
        <w:rPr>
          <w:sz w:val="22"/>
          <w:szCs w:val="22"/>
        </w:rPr>
        <w:t>%</w:t>
      </w:r>
      <w:r w:rsidR="0098133E" w:rsidRPr="000750E4">
        <w:rPr>
          <w:sz w:val="22"/>
          <w:szCs w:val="22"/>
        </w:rPr>
        <w:t>)</w:t>
      </w:r>
      <w:r w:rsidR="00576BBF" w:rsidRPr="000750E4">
        <w:rPr>
          <w:sz w:val="22"/>
          <w:szCs w:val="22"/>
        </w:rPr>
        <w:t xml:space="preserve"> z celkových kapitálových príjmov a cudzích kapitálových príjmov na úrovni </w:t>
      </w:r>
      <w:r w:rsidR="0017228F">
        <w:rPr>
          <w:sz w:val="22"/>
          <w:szCs w:val="22"/>
        </w:rPr>
        <w:t>23</w:t>
      </w:r>
      <w:r w:rsidR="006D7CE5">
        <w:rPr>
          <w:sz w:val="22"/>
          <w:szCs w:val="22"/>
        </w:rPr>
        <w:t>,</w:t>
      </w:r>
      <w:r w:rsidR="0017228F">
        <w:rPr>
          <w:sz w:val="22"/>
          <w:szCs w:val="22"/>
        </w:rPr>
        <w:t>76</w:t>
      </w:r>
      <w:r w:rsidR="006D7CE5">
        <w:rPr>
          <w:sz w:val="22"/>
          <w:szCs w:val="22"/>
        </w:rPr>
        <w:t xml:space="preserve">% (r.2017 15,08%, </w:t>
      </w:r>
      <w:r w:rsidR="0098133E" w:rsidRPr="000750E4">
        <w:rPr>
          <w:sz w:val="22"/>
          <w:szCs w:val="22"/>
        </w:rPr>
        <w:t xml:space="preserve">r. 2016 </w:t>
      </w:r>
      <w:r w:rsidR="00265F2D" w:rsidRPr="000750E4">
        <w:rPr>
          <w:sz w:val="22"/>
          <w:szCs w:val="22"/>
        </w:rPr>
        <w:t>79,07</w:t>
      </w:r>
      <w:r w:rsidR="00576BBF" w:rsidRPr="000750E4">
        <w:rPr>
          <w:sz w:val="22"/>
          <w:szCs w:val="22"/>
        </w:rPr>
        <w:t>%</w:t>
      </w:r>
      <w:r w:rsidR="0098133E" w:rsidRPr="000750E4">
        <w:rPr>
          <w:sz w:val="22"/>
          <w:szCs w:val="22"/>
        </w:rPr>
        <w:t xml:space="preserve">) </w:t>
      </w:r>
      <w:r w:rsidR="00E52F02" w:rsidRPr="000750E4">
        <w:rPr>
          <w:sz w:val="22"/>
          <w:szCs w:val="22"/>
        </w:rPr>
        <w:t>z celkových kapitálových príjmov</w:t>
      </w:r>
      <w:r w:rsidR="00576BBF" w:rsidRPr="000750E4">
        <w:rPr>
          <w:sz w:val="22"/>
          <w:szCs w:val="22"/>
        </w:rPr>
        <w:t>.</w:t>
      </w:r>
      <w:r w:rsidR="001A0287" w:rsidRPr="000750E4">
        <w:rPr>
          <w:sz w:val="22"/>
          <w:szCs w:val="22"/>
        </w:rPr>
        <w:t xml:space="preserve"> </w:t>
      </w:r>
      <w:r w:rsidR="00265F2D" w:rsidRPr="000750E4">
        <w:rPr>
          <w:b/>
          <w:bCs/>
          <w:sz w:val="22"/>
          <w:szCs w:val="22"/>
        </w:rPr>
        <w:t xml:space="preserve">Celkovo </w:t>
      </w:r>
      <w:r w:rsidR="00D86B9E" w:rsidRPr="000750E4">
        <w:rPr>
          <w:b/>
          <w:bCs/>
          <w:sz w:val="22"/>
          <w:szCs w:val="22"/>
        </w:rPr>
        <w:t xml:space="preserve">došlo k nárastu </w:t>
      </w:r>
      <w:r w:rsidR="001A0287" w:rsidRPr="000750E4">
        <w:rPr>
          <w:b/>
          <w:bCs/>
          <w:sz w:val="22"/>
          <w:szCs w:val="22"/>
        </w:rPr>
        <w:t>celkových bežných príjmov (vlastných aj cudzích) o</w:t>
      </w:r>
      <w:r w:rsidR="00E55100">
        <w:rPr>
          <w:b/>
          <w:bCs/>
          <w:sz w:val="22"/>
          <w:szCs w:val="22"/>
        </w:rPr>
        <w:t xml:space="preserve"> 1.449.097€ (r.2018 </w:t>
      </w:r>
      <w:r w:rsidR="004C69A4">
        <w:rPr>
          <w:b/>
          <w:bCs/>
          <w:sz w:val="22"/>
          <w:szCs w:val="22"/>
        </w:rPr>
        <w:t>1.475.931</w:t>
      </w:r>
      <w:r w:rsidR="0098133E" w:rsidRPr="000750E4">
        <w:rPr>
          <w:b/>
          <w:bCs/>
          <w:sz w:val="22"/>
          <w:szCs w:val="22"/>
        </w:rPr>
        <w:t>€</w:t>
      </w:r>
      <w:r w:rsidR="00E55100">
        <w:rPr>
          <w:b/>
          <w:bCs/>
          <w:sz w:val="22"/>
          <w:szCs w:val="22"/>
        </w:rPr>
        <w:t xml:space="preserve">, </w:t>
      </w:r>
      <w:r w:rsidR="004C69A4">
        <w:rPr>
          <w:b/>
          <w:bCs/>
          <w:sz w:val="22"/>
          <w:szCs w:val="22"/>
        </w:rPr>
        <w:t>r.2017 418.728€, r.</w:t>
      </w:r>
      <w:r w:rsidR="0098133E" w:rsidRPr="000750E4">
        <w:rPr>
          <w:b/>
          <w:bCs/>
          <w:sz w:val="22"/>
          <w:szCs w:val="22"/>
        </w:rPr>
        <w:t>2016 o 936.</w:t>
      </w:r>
      <w:r w:rsidR="009E0712" w:rsidRPr="000750E4">
        <w:rPr>
          <w:b/>
          <w:bCs/>
          <w:sz w:val="22"/>
          <w:szCs w:val="22"/>
        </w:rPr>
        <w:t>480</w:t>
      </w:r>
      <w:r w:rsidR="001A0287" w:rsidRPr="000750E4">
        <w:rPr>
          <w:b/>
          <w:bCs/>
          <w:sz w:val="22"/>
          <w:szCs w:val="22"/>
        </w:rPr>
        <w:t>€</w:t>
      </w:r>
      <w:r w:rsidR="0098133E" w:rsidRPr="000750E4">
        <w:rPr>
          <w:b/>
          <w:bCs/>
          <w:sz w:val="22"/>
          <w:szCs w:val="22"/>
        </w:rPr>
        <w:t>)</w:t>
      </w:r>
      <w:r w:rsidR="001A0287" w:rsidRPr="000750E4">
        <w:rPr>
          <w:b/>
          <w:bCs/>
          <w:sz w:val="22"/>
          <w:szCs w:val="22"/>
        </w:rPr>
        <w:t xml:space="preserve"> </w:t>
      </w:r>
      <w:r w:rsidR="00D86B9E" w:rsidRPr="000750E4">
        <w:rPr>
          <w:b/>
          <w:bCs/>
          <w:sz w:val="22"/>
          <w:szCs w:val="22"/>
        </w:rPr>
        <w:t>a</w:t>
      </w:r>
      <w:r w:rsidR="00214985">
        <w:rPr>
          <w:b/>
          <w:bCs/>
          <w:sz w:val="22"/>
          <w:szCs w:val="22"/>
        </w:rPr>
        <w:t xml:space="preserve"> zvýšeniu </w:t>
      </w:r>
      <w:r w:rsidR="0017228F">
        <w:rPr>
          <w:b/>
          <w:bCs/>
          <w:sz w:val="22"/>
          <w:szCs w:val="22"/>
        </w:rPr>
        <w:t xml:space="preserve">celkových </w:t>
      </w:r>
      <w:r w:rsidR="009E0712" w:rsidRPr="000750E4">
        <w:rPr>
          <w:b/>
          <w:bCs/>
          <w:sz w:val="22"/>
          <w:szCs w:val="22"/>
        </w:rPr>
        <w:t>k</w:t>
      </w:r>
      <w:r w:rsidR="00D86B9E" w:rsidRPr="000750E4">
        <w:rPr>
          <w:b/>
          <w:bCs/>
          <w:sz w:val="22"/>
          <w:szCs w:val="22"/>
        </w:rPr>
        <w:t>api</w:t>
      </w:r>
      <w:r w:rsidR="001A0287" w:rsidRPr="000750E4">
        <w:rPr>
          <w:b/>
          <w:bCs/>
          <w:sz w:val="22"/>
          <w:szCs w:val="22"/>
        </w:rPr>
        <w:t xml:space="preserve">tálových (vlastných aj cudzích) </w:t>
      </w:r>
      <w:r w:rsidR="001A0287" w:rsidRPr="00214985">
        <w:rPr>
          <w:b/>
          <w:bCs/>
          <w:sz w:val="22"/>
          <w:szCs w:val="22"/>
        </w:rPr>
        <w:t>príjmov o</w:t>
      </w:r>
      <w:r w:rsidR="00E55100">
        <w:rPr>
          <w:b/>
          <w:bCs/>
          <w:sz w:val="22"/>
          <w:szCs w:val="22"/>
        </w:rPr>
        <w:t xml:space="preserve"> 911.434€ (r.2018 </w:t>
      </w:r>
      <w:r w:rsidR="003B75FF">
        <w:rPr>
          <w:b/>
          <w:bCs/>
          <w:sz w:val="22"/>
          <w:szCs w:val="22"/>
        </w:rPr>
        <w:t>617.642</w:t>
      </w:r>
      <w:r w:rsidR="00E55100">
        <w:rPr>
          <w:b/>
          <w:bCs/>
          <w:sz w:val="22"/>
          <w:szCs w:val="22"/>
        </w:rPr>
        <w:t xml:space="preserve">€, </w:t>
      </w:r>
      <w:r w:rsidR="00214985" w:rsidRPr="00214985">
        <w:rPr>
          <w:b/>
          <w:bCs/>
          <w:i/>
          <w:sz w:val="22"/>
          <w:szCs w:val="22"/>
        </w:rPr>
        <w:t xml:space="preserve">r. 2017 </w:t>
      </w:r>
      <w:r w:rsidR="003B75FF">
        <w:rPr>
          <w:b/>
          <w:bCs/>
          <w:i/>
          <w:sz w:val="22"/>
          <w:szCs w:val="22"/>
        </w:rPr>
        <w:t>-</w:t>
      </w:r>
      <w:r w:rsidR="00214985" w:rsidRPr="00214985">
        <w:rPr>
          <w:b/>
          <w:bCs/>
          <w:i/>
          <w:sz w:val="22"/>
          <w:szCs w:val="22"/>
        </w:rPr>
        <w:t>1.145.456€</w:t>
      </w:r>
      <w:r w:rsidR="00214985" w:rsidRPr="00214985">
        <w:rPr>
          <w:b/>
          <w:bCs/>
          <w:sz w:val="22"/>
          <w:szCs w:val="22"/>
        </w:rPr>
        <w:t xml:space="preserve">, </w:t>
      </w:r>
      <w:r w:rsidR="0098133E" w:rsidRPr="00214985">
        <w:rPr>
          <w:b/>
          <w:bCs/>
          <w:sz w:val="22"/>
          <w:szCs w:val="22"/>
        </w:rPr>
        <w:t xml:space="preserve">r.2016 o </w:t>
      </w:r>
      <w:r w:rsidR="009E0712" w:rsidRPr="00214985">
        <w:rPr>
          <w:b/>
          <w:bCs/>
          <w:sz w:val="22"/>
          <w:szCs w:val="22"/>
        </w:rPr>
        <w:t>978.483</w:t>
      </w:r>
      <w:r w:rsidR="001A0287" w:rsidRPr="00214985">
        <w:rPr>
          <w:b/>
          <w:bCs/>
          <w:sz w:val="22"/>
          <w:szCs w:val="22"/>
        </w:rPr>
        <w:t>€</w:t>
      </w:r>
      <w:r w:rsidR="0098133E" w:rsidRPr="00214985">
        <w:rPr>
          <w:b/>
          <w:bCs/>
          <w:sz w:val="22"/>
          <w:szCs w:val="22"/>
        </w:rPr>
        <w:t>)</w:t>
      </w:r>
      <w:r w:rsidR="001A0287" w:rsidRPr="00214985">
        <w:rPr>
          <w:b/>
          <w:bCs/>
          <w:sz w:val="22"/>
          <w:szCs w:val="22"/>
        </w:rPr>
        <w:t>.</w:t>
      </w:r>
      <w:r w:rsidR="001A0287" w:rsidRPr="000750E4">
        <w:rPr>
          <w:b/>
          <w:bCs/>
          <w:sz w:val="22"/>
          <w:szCs w:val="22"/>
        </w:rPr>
        <w:t xml:space="preserve"> </w:t>
      </w:r>
      <w:r w:rsidR="002765FB" w:rsidRPr="000750E4">
        <w:rPr>
          <w:b/>
          <w:bCs/>
          <w:sz w:val="22"/>
          <w:szCs w:val="22"/>
        </w:rPr>
        <w:t xml:space="preserve"> </w:t>
      </w:r>
    </w:p>
    <w:p w:rsidR="007347F8" w:rsidRPr="000750E4" w:rsidRDefault="007347F8" w:rsidP="00271390">
      <w:pPr>
        <w:pStyle w:val="Default"/>
        <w:jc w:val="both"/>
        <w:rPr>
          <w:iCs/>
          <w:sz w:val="22"/>
          <w:szCs w:val="22"/>
        </w:rPr>
      </w:pPr>
    </w:p>
    <w:p w:rsidR="00271390" w:rsidRPr="000750E4" w:rsidRDefault="005108FC" w:rsidP="00271390">
      <w:pPr>
        <w:pStyle w:val="Default"/>
        <w:ind w:firstLine="708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V</w:t>
      </w:r>
      <w:r w:rsidR="001A0287" w:rsidRPr="000750E4">
        <w:rPr>
          <w:iCs/>
          <w:sz w:val="22"/>
          <w:szCs w:val="22"/>
        </w:rPr>
        <w:t xml:space="preserve">ývoj </w:t>
      </w:r>
      <w:r w:rsidR="00E52F02" w:rsidRPr="000750E4">
        <w:rPr>
          <w:iCs/>
          <w:sz w:val="22"/>
          <w:szCs w:val="22"/>
        </w:rPr>
        <w:t>príjmov</w:t>
      </w:r>
      <w:r w:rsidR="00576BBF" w:rsidRPr="000750E4">
        <w:rPr>
          <w:iCs/>
          <w:sz w:val="22"/>
          <w:szCs w:val="22"/>
        </w:rPr>
        <w:t xml:space="preserve"> </w:t>
      </w:r>
      <w:r w:rsidR="00D05B5B">
        <w:rPr>
          <w:iCs/>
          <w:sz w:val="22"/>
          <w:szCs w:val="22"/>
        </w:rPr>
        <w:t>v rokoch 2013</w:t>
      </w:r>
      <w:r w:rsidR="001A0287" w:rsidRPr="000750E4">
        <w:rPr>
          <w:iCs/>
          <w:sz w:val="22"/>
          <w:szCs w:val="22"/>
        </w:rPr>
        <w:t xml:space="preserve"> – 201</w:t>
      </w:r>
      <w:r w:rsidR="00E55100">
        <w:rPr>
          <w:iCs/>
          <w:sz w:val="22"/>
          <w:szCs w:val="22"/>
        </w:rPr>
        <w:t>9</w:t>
      </w:r>
      <w:r w:rsidR="00271390" w:rsidRPr="000750E4">
        <w:rPr>
          <w:iCs/>
          <w:sz w:val="22"/>
          <w:szCs w:val="22"/>
        </w:rPr>
        <w:t xml:space="preserve"> v</w:t>
      </w:r>
      <w:r w:rsidR="004127A1" w:rsidRPr="000750E4">
        <w:rPr>
          <w:iCs/>
          <w:sz w:val="22"/>
          <w:szCs w:val="22"/>
        </w:rPr>
        <w:t> zložení</w:t>
      </w:r>
      <w:r w:rsidR="00271390" w:rsidRPr="000750E4">
        <w:rPr>
          <w:iCs/>
          <w:sz w:val="22"/>
          <w:szCs w:val="22"/>
        </w:rPr>
        <w:t xml:space="preserve"> na bež</w:t>
      </w:r>
      <w:r w:rsidR="00A3290E" w:rsidRPr="000750E4">
        <w:rPr>
          <w:iCs/>
          <w:sz w:val="22"/>
          <w:szCs w:val="22"/>
        </w:rPr>
        <w:t xml:space="preserve">né a kapitálové </w:t>
      </w:r>
      <w:r w:rsidR="00C113F5" w:rsidRPr="000750E4">
        <w:rPr>
          <w:iCs/>
          <w:sz w:val="22"/>
          <w:szCs w:val="22"/>
        </w:rPr>
        <w:t xml:space="preserve">príjmy </w:t>
      </w:r>
      <w:r w:rsidR="00271390" w:rsidRPr="000750E4">
        <w:rPr>
          <w:iCs/>
          <w:sz w:val="22"/>
          <w:szCs w:val="22"/>
        </w:rPr>
        <w:t>:</w:t>
      </w:r>
    </w:p>
    <w:p w:rsidR="00271390" w:rsidRPr="00271390" w:rsidRDefault="00271390" w:rsidP="00271390">
      <w:pPr>
        <w:pStyle w:val="Default"/>
        <w:ind w:firstLine="708"/>
        <w:jc w:val="both"/>
        <w:rPr>
          <w:iCs/>
          <w:sz w:val="18"/>
          <w:szCs w:val="18"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DE74E0">
        <w:rPr>
          <w:iCs/>
          <w:sz w:val="18"/>
          <w:szCs w:val="18"/>
        </w:rPr>
        <w:t>t</w:t>
      </w:r>
      <w:r w:rsidRPr="00271390">
        <w:rPr>
          <w:iCs/>
          <w:sz w:val="18"/>
          <w:szCs w:val="18"/>
        </w:rPr>
        <w:t xml:space="preserve">ab. č. </w:t>
      </w:r>
      <w:r w:rsidR="001736D6">
        <w:rPr>
          <w:iCs/>
          <w:sz w:val="18"/>
          <w:szCs w:val="18"/>
        </w:rPr>
        <w:t>2</w:t>
      </w:r>
      <w:r w:rsidRPr="00271390">
        <w:rPr>
          <w:iCs/>
          <w:sz w:val="18"/>
          <w:szCs w:val="18"/>
        </w:rPr>
        <w:t xml:space="preserve"> </w:t>
      </w:r>
    </w:p>
    <w:tbl>
      <w:tblPr>
        <w:tblStyle w:val="Obyajntabuka1"/>
        <w:tblW w:w="9088" w:type="dxa"/>
        <w:tblLayout w:type="fixed"/>
        <w:tblLook w:val="04A0" w:firstRow="1" w:lastRow="0" w:firstColumn="1" w:lastColumn="0" w:noHBand="0" w:noVBand="1"/>
      </w:tblPr>
      <w:tblGrid>
        <w:gridCol w:w="700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394E1F" w:rsidRPr="0017085C" w:rsidTr="00F46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:rsidR="00394E1F" w:rsidRPr="008D41BD" w:rsidRDefault="00394E1F" w:rsidP="00394E1F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8D41B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Príjmy 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2014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2014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2015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2015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2016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2016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2017</w:t>
            </w:r>
          </w:p>
        </w:tc>
        <w:tc>
          <w:tcPr>
            <w:tcW w:w="699" w:type="dxa"/>
            <w:vAlign w:val="center"/>
            <w:hideMark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2017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2018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2018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2019</w:t>
            </w:r>
          </w:p>
        </w:tc>
        <w:tc>
          <w:tcPr>
            <w:tcW w:w="699" w:type="dxa"/>
            <w:vAlign w:val="center"/>
          </w:tcPr>
          <w:p w:rsidR="00394E1F" w:rsidRPr="009D6925" w:rsidRDefault="00394E1F" w:rsidP="0039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2019</w:t>
            </w:r>
          </w:p>
        </w:tc>
      </w:tr>
      <w:tr w:rsidR="009D6925" w:rsidRPr="0017085C" w:rsidTr="00F4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:rsidR="009D6925" w:rsidRPr="008D41BD" w:rsidRDefault="009D6925" w:rsidP="009D692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8D41B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7 985 120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8 313 501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8 289 708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8 931 921</w:t>
            </w:r>
          </w:p>
        </w:tc>
        <w:tc>
          <w:tcPr>
            <w:tcW w:w="699" w:type="dxa"/>
            <w:noWrap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9 936 616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9 868 401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10 682 540</w:t>
            </w:r>
          </w:p>
        </w:tc>
        <w:tc>
          <w:tcPr>
            <w:tcW w:w="699" w:type="dxa"/>
            <w:noWrap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10 562 175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12 248 955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12 038 106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13 643 754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13 487 203</w:t>
            </w:r>
          </w:p>
        </w:tc>
      </w:tr>
      <w:tr w:rsidR="009D6925" w:rsidRPr="0017085C" w:rsidTr="00F46E1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:rsidR="009D6925" w:rsidRPr="008D41BD" w:rsidRDefault="009D6925" w:rsidP="009D692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8D41B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Kapitálové príjmy 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337 970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659 635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821 556</w:t>
            </w:r>
          </w:p>
        </w:tc>
        <w:tc>
          <w:tcPr>
            <w:tcW w:w="699" w:type="dxa"/>
            <w:noWrap/>
            <w:vAlign w:val="center"/>
            <w:hideMark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460 765</w:t>
            </w:r>
          </w:p>
        </w:tc>
        <w:tc>
          <w:tcPr>
            <w:tcW w:w="699" w:type="dxa"/>
            <w:noWrap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1 660 261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1 439 248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317 500</w:t>
            </w:r>
          </w:p>
        </w:tc>
        <w:tc>
          <w:tcPr>
            <w:tcW w:w="699" w:type="dxa"/>
            <w:noWrap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293 792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1 139 258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911 434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996 016</w:t>
            </w:r>
          </w:p>
        </w:tc>
        <w:tc>
          <w:tcPr>
            <w:tcW w:w="699" w:type="dxa"/>
            <w:vAlign w:val="center"/>
          </w:tcPr>
          <w:p w:rsidR="009D6925" w:rsidRPr="009D6925" w:rsidRDefault="009D6925" w:rsidP="009D6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948 340</w:t>
            </w:r>
          </w:p>
        </w:tc>
      </w:tr>
    </w:tbl>
    <w:p w:rsidR="001D5FA2" w:rsidRDefault="001D5FA2" w:rsidP="00AB178F">
      <w:pPr>
        <w:pStyle w:val="Default"/>
        <w:jc w:val="both"/>
        <w:rPr>
          <w:sz w:val="23"/>
          <w:szCs w:val="23"/>
        </w:rPr>
      </w:pPr>
    </w:p>
    <w:p w:rsidR="00271390" w:rsidRPr="00E24A8E" w:rsidRDefault="00DF6BEB" w:rsidP="00AB178F">
      <w:pPr>
        <w:pStyle w:val="Default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E24A8E">
        <w:rPr>
          <w:sz w:val="23"/>
          <w:szCs w:val="23"/>
        </w:rPr>
        <w:tab/>
      </w:r>
      <w:r>
        <w:rPr>
          <w:sz w:val="18"/>
          <w:szCs w:val="18"/>
        </w:rPr>
        <w:t>g</w:t>
      </w:r>
      <w:r w:rsidRPr="00DF6BEB">
        <w:rPr>
          <w:sz w:val="18"/>
          <w:szCs w:val="18"/>
        </w:rPr>
        <w:t xml:space="preserve">raf č. 1 </w:t>
      </w:r>
    </w:p>
    <w:p w:rsidR="00095FF6" w:rsidRDefault="0022652D" w:rsidP="00AB178F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noProof/>
          <w:lang w:eastAsia="sk-SK"/>
        </w:rPr>
        <w:drawing>
          <wp:inline distT="0" distB="0" distL="0" distR="0" wp14:anchorId="3453949A" wp14:editId="7E07CEB4">
            <wp:extent cx="4667250" cy="27432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71390" w:rsidRDefault="00271390" w:rsidP="00AB17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9727CC" w:rsidRPr="006A7C41" w:rsidRDefault="009727CC" w:rsidP="00AB17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A255E9" w:rsidRDefault="00DE74E0" w:rsidP="009727CC">
      <w:pPr>
        <w:pStyle w:val="Default"/>
        <w:ind w:firstLine="708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Pre účely preukázateľného vyjadrenia vývoja bežných a kapitálových príjmov v rámci vybraných položiek</w:t>
      </w:r>
      <w:r w:rsidR="00F37FC8" w:rsidRPr="000750E4">
        <w:rPr>
          <w:iCs/>
          <w:sz w:val="22"/>
          <w:szCs w:val="22"/>
        </w:rPr>
        <w:t xml:space="preserve"> </w:t>
      </w:r>
      <w:r w:rsidR="00F37FC8" w:rsidRPr="000750E4">
        <w:rPr>
          <w:b/>
          <w:iCs/>
          <w:sz w:val="22"/>
          <w:szCs w:val="22"/>
        </w:rPr>
        <w:t>daňových a nedaňových príjmov</w:t>
      </w:r>
      <w:r w:rsidRPr="000750E4">
        <w:rPr>
          <w:iCs/>
          <w:sz w:val="22"/>
          <w:szCs w:val="22"/>
        </w:rPr>
        <w:t>,</w:t>
      </w:r>
      <w:r w:rsidR="00F37FC8" w:rsidRPr="000750E4">
        <w:rPr>
          <w:iCs/>
          <w:sz w:val="22"/>
          <w:szCs w:val="22"/>
        </w:rPr>
        <w:t xml:space="preserve"> </w:t>
      </w:r>
      <w:r w:rsidR="00F37FC8" w:rsidRPr="000750E4">
        <w:rPr>
          <w:b/>
          <w:iCs/>
          <w:sz w:val="22"/>
          <w:szCs w:val="22"/>
        </w:rPr>
        <w:t xml:space="preserve">grantov a transferov, kapitálových príjmov </w:t>
      </w:r>
      <w:r w:rsidRPr="000750E4">
        <w:rPr>
          <w:b/>
          <w:iCs/>
          <w:sz w:val="22"/>
          <w:szCs w:val="22"/>
        </w:rPr>
        <w:t xml:space="preserve"> </w:t>
      </w:r>
      <w:r w:rsidR="009D6925">
        <w:rPr>
          <w:sz w:val="22"/>
          <w:szCs w:val="22"/>
        </w:rPr>
        <w:t>(</w:t>
      </w:r>
      <w:r w:rsidRPr="000750E4">
        <w:rPr>
          <w:sz w:val="22"/>
          <w:szCs w:val="22"/>
        </w:rPr>
        <w:t xml:space="preserve"> podieľajú najväčšou mierou na dosahovaných vlastných príjmoch</w:t>
      </w:r>
      <w:r w:rsidR="009D6925">
        <w:rPr>
          <w:sz w:val="22"/>
          <w:szCs w:val="22"/>
        </w:rPr>
        <w:t>)</w:t>
      </w:r>
      <w:r w:rsidR="00F37FC8" w:rsidRPr="000750E4">
        <w:rPr>
          <w:sz w:val="22"/>
          <w:szCs w:val="22"/>
        </w:rPr>
        <w:t xml:space="preserve">, </w:t>
      </w:r>
      <w:r w:rsidR="009D6925">
        <w:rPr>
          <w:iCs/>
          <w:sz w:val="22"/>
          <w:szCs w:val="22"/>
        </w:rPr>
        <w:t>uvádzam</w:t>
      </w:r>
      <w:r w:rsidRPr="000750E4">
        <w:rPr>
          <w:iCs/>
          <w:sz w:val="22"/>
          <w:szCs w:val="22"/>
        </w:rPr>
        <w:t xml:space="preserve"> prehľad vývoja </w:t>
      </w:r>
      <w:r w:rsidR="00320C0E" w:rsidRPr="000750E4">
        <w:rPr>
          <w:iCs/>
          <w:sz w:val="22"/>
          <w:szCs w:val="22"/>
        </w:rPr>
        <w:t xml:space="preserve">príjmov </w:t>
      </w:r>
      <w:r w:rsidRPr="000750E4">
        <w:rPr>
          <w:iCs/>
          <w:sz w:val="22"/>
          <w:szCs w:val="22"/>
        </w:rPr>
        <w:t>od roku 201</w:t>
      </w:r>
      <w:r w:rsidR="009D6925">
        <w:rPr>
          <w:iCs/>
          <w:sz w:val="22"/>
          <w:szCs w:val="22"/>
        </w:rPr>
        <w:t>4</w:t>
      </w:r>
      <w:r w:rsidRPr="000750E4">
        <w:rPr>
          <w:iCs/>
          <w:sz w:val="22"/>
          <w:szCs w:val="22"/>
        </w:rPr>
        <w:t xml:space="preserve"> </w:t>
      </w:r>
      <w:r w:rsidR="00672E90" w:rsidRPr="000750E4">
        <w:rPr>
          <w:iCs/>
          <w:sz w:val="22"/>
          <w:szCs w:val="22"/>
        </w:rPr>
        <w:t>do roku</w:t>
      </w:r>
      <w:r w:rsidRPr="000750E4">
        <w:rPr>
          <w:iCs/>
          <w:sz w:val="22"/>
          <w:szCs w:val="22"/>
        </w:rPr>
        <w:t xml:space="preserve"> 201</w:t>
      </w:r>
      <w:r w:rsidR="009D6925">
        <w:rPr>
          <w:iCs/>
          <w:sz w:val="22"/>
          <w:szCs w:val="22"/>
        </w:rPr>
        <w:t>9</w:t>
      </w:r>
      <w:r w:rsidR="00672E90" w:rsidRPr="000750E4">
        <w:rPr>
          <w:iCs/>
          <w:sz w:val="22"/>
          <w:szCs w:val="22"/>
        </w:rPr>
        <w:t xml:space="preserve">. </w:t>
      </w:r>
    </w:p>
    <w:p w:rsidR="00A255E9" w:rsidRDefault="00A255E9" w:rsidP="009727CC">
      <w:pPr>
        <w:pStyle w:val="Default"/>
        <w:ind w:firstLine="708"/>
        <w:jc w:val="both"/>
        <w:rPr>
          <w:iCs/>
          <w:sz w:val="22"/>
          <w:szCs w:val="22"/>
        </w:rPr>
      </w:pPr>
    </w:p>
    <w:p w:rsidR="009727CC" w:rsidRPr="00A255E9" w:rsidRDefault="00A255E9" w:rsidP="009727CC">
      <w:pPr>
        <w:pStyle w:val="Default"/>
        <w:ind w:firstLine="708"/>
        <w:jc w:val="both"/>
        <w:rPr>
          <w:iCs/>
          <w:sz w:val="22"/>
          <w:szCs w:val="22"/>
        </w:rPr>
      </w:pPr>
      <w:r w:rsidRPr="00A255E9">
        <w:rPr>
          <w:iCs/>
          <w:sz w:val="22"/>
          <w:szCs w:val="22"/>
        </w:rPr>
        <w:t xml:space="preserve">Štruktúra a výška bežných a kapitálových príjmov </w:t>
      </w:r>
      <w:r w:rsidR="00DE74E0" w:rsidRPr="00A255E9">
        <w:rPr>
          <w:iCs/>
          <w:sz w:val="22"/>
          <w:szCs w:val="22"/>
        </w:rPr>
        <w:tab/>
      </w:r>
      <w:r w:rsidR="00DE74E0">
        <w:rPr>
          <w:iCs/>
        </w:rPr>
        <w:tab/>
      </w:r>
      <w:r w:rsidR="00E24A8E">
        <w:rPr>
          <w:iCs/>
        </w:rPr>
        <w:tab/>
      </w:r>
      <w:r w:rsidR="00DE74E0">
        <w:rPr>
          <w:iCs/>
          <w:sz w:val="18"/>
          <w:szCs w:val="18"/>
        </w:rPr>
        <w:t>t</w:t>
      </w:r>
      <w:r w:rsidR="00DE74E0" w:rsidRPr="00DE74E0">
        <w:rPr>
          <w:iCs/>
          <w:sz w:val="18"/>
          <w:szCs w:val="18"/>
        </w:rPr>
        <w:t>ab.</w:t>
      </w:r>
      <w:r w:rsidR="00DE74E0">
        <w:rPr>
          <w:iCs/>
          <w:sz w:val="18"/>
          <w:szCs w:val="18"/>
        </w:rPr>
        <w:t xml:space="preserve"> č. </w:t>
      </w:r>
      <w:r w:rsidR="001736D6">
        <w:rPr>
          <w:iCs/>
          <w:sz w:val="18"/>
          <w:szCs w:val="18"/>
        </w:rPr>
        <w:t>3</w:t>
      </w:r>
    </w:p>
    <w:tbl>
      <w:tblPr>
        <w:tblStyle w:val="Obyajntabuka1"/>
        <w:tblW w:w="815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077"/>
        <w:gridCol w:w="1077"/>
        <w:gridCol w:w="1077"/>
        <w:gridCol w:w="1077"/>
      </w:tblGrid>
      <w:tr w:rsidR="00605F44" w:rsidRPr="00A255E9" w:rsidTr="009D6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605F44" w:rsidRPr="00A255E9" w:rsidRDefault="00605F44" w:rsidP="00605F44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Príjmy 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605F44" w:rsidP="009D692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201</w:t>
            </w:r>
            <w:r w:rsidR="009D6925"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605F44" w:rsidP="00605F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</w:t>
            </w:r>
            <w:r w:rsidR="009D6925"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015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9D6925" w:rsidP="00605F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2016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9D6925" w:rsidP="00605F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9D6925" w:rsidP="00605F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2018</w:t>
            </w:r>
          </w:p>
        </w:tc>
        <w:tc>
          <w:tcPr>
            <w:tcW w:w="1077" w:type="dxa"/>
            <w:noWrap/>
            <w:hideMark/>
          </w:tcPr>
          <w:p w:rsidR="00605F44" w:rsidRPr="009D6925" w:rsidRDefault="00605F44" w:rsidP="009D692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201</w:t>
            </w:r>
            <w:r w:rsidR="009D6925" w:rsidRPr="009D6925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9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A. Bežné príjmy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8 313 501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8 931 921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9 868 401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10 562 175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12 038 106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13 487 203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1. Daňové príjmy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4 991 826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5 515 848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6 208 094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6 700 584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7 296 836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8 015 004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 xml:space="preserve">z toho :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Podielové dane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4 154 990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4 673 792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5 362 457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5 767 454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6 379 013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7 078 496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 xml:space="preserve">Daň z nehnuteľnosti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606 317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624 470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612 429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656 424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620 589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641 089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Miestne dane a poplatky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230 519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217 586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233 208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276 706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297 234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295 439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2. Nedaňové príjmy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679 640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646 122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660 959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587 647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511 780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503 853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 xml:space="preserve">z toho :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lastRenderedPageBreak/>
              <w:t xml:space="preserve">Príjmy z vlastníctva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352 302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344 670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366 061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345 939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300 818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680F43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286 606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3. Granty a transfery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2 642 035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2 769 951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2 999 348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3 273 944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4 229 490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4 968 346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D6925" w:rsidRPr="00A255E9" w:rsidTr="009D692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B. Kapitálové príjmy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659 635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911 434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1 439 248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911 434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948 340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948 340</w:t>
            </w:r>
          </w:p>
        </w:tc>
      </w:tr>
      <w:tr w:rsidR="009D6925" w:rsidRPr="00A255E9" w:rsidTr="009D69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1. vlastné kapitálové príjmy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82 972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694 899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301 290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694 899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205 802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205 802</w:t>
            </w:r>
          </w:p>
        </w:tc>
      </w:tr>
      <w:tr w:rsidR="009D6925" w:rsidRPr="00A255E9" w:rsidTr="009D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:rsidR="009D6925" w:rsidRPr="00A255E9" w:rsidRDefault="009D6925" w:rsidP="009D692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2. cudzie kapitálové príjmy 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576 663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216 535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1 137 958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216 535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742 538</w:t>
            </w:r>
          </w:p>
        </w:tc>
        <w:tc>
          <w:tcPr>
            <w:tcW w:w="1077" w:type="dxa"/>
            <w:noWrap/>
            <w:vAlign w:val="bottom"/>
            <w:hideMark/>
          </w:tcPr>
          <w:p w:rsidR="009D6925" w:rsidRPr="009D6925" w:rsidRDefault="009D6925" w:rsidP="009D692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69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742 538</w:t>
            </w:r>
          </w:p>
        </w:tc>
      </w:tr>
    </w:tbl>
    <w:p w:rsidR="00F37FC8" w:rsidRDefault="00F37FC8" w:rsidP="00AB178F">
      <w:pPr>
        <w:pStyle w:val="Default"/>
        <w:jc w:val="both"/>
        <w:rPr>
          <w:bCs/>
          <w:sz w:val="23"/>
          <w:szCs w:val="23"/>
        </w:rPr>
      </w:pPr>
    </w:p>
    <w:p w:rsidR="00F37FC8" w:rsidRPr="000750E4" w:rsidRDefault="00F37FC8" w:rsidP="00AB178F">
      <w:pPr>
        <w:pStyle w:val="Default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 xml:space="preserve">Daňové a nedaňové príjmy </w:t>
      </w:r>
    </w:p>
    <w:p w:rsidR="00F37FC8" w:rsidRPr="000750E4" w:rsidRDefault="00F37FC8" w:rsidP="00AB178F">
      <w:pPr>
        <w:pStyle w:val="Default"/>
        <w:jc w:val="both"/>
        <w:rPr>
          <w:b/>
          <w:bCs/>
          <w:sz w:val="22"/>
          <w:szCs w:val="22"/>
        </w:rPr>
      </w:pPr>
    </w:p>
    <w:p w:rsidR="009727CC" w:rsidRPr="000750E4" w:rsidRDefault="002565F0" w:rsidP="002565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0750E4">
        <w:rPr>
          <w:rFonts w:ascii="Times New Roman" w:hAnsi="Times New Roman" w:cs="Times New Roman"/>
          <w:bCs/>
          <w:color w:val="000000"/>
        </w:rPr>
        <w:t>V roku 201</w:t>
      </w:r>
      <w:r w:rsidR="005C0E40">
        <w:rPr>
          <w:rFonts w:ascii="Times New Roman" w:hAnsi="Times New Roman" w:cs="Times New Roman"/>
          <w:bCs/>
          <w:color w:val="000000"/>
        </w:rPr>
        <w:t>9</w:t>
      </w:r>
      <w:r w:rsidRPr="000750E4">
        <w:rPr>
          <w:rFonts w:ascii="Times New Roman" w:hAnsi="Times New Roman" w:cs="Times New Roman"/>
          <w:bCs/>
          <w:color w:val="000000"/>
        </w:rPr>
        <w:t xml:space="preserve"> v</w:t>
      </w:r>
      <w:r w:rsidR="00605F44">
        <w:rPr>
          <w:rFonts w:ascii="Times New Roman" w:hAnsi="Times New Roman" w:cs="Times New Roman"/>
          <w:bCs/>
          <w:color w:val="000000"/>
        </w:rPr>
        <w:t> </w:t>
      </w:r>
      <w:r w:rsidRPr="000750E4">
        <w:rPr>
          <w:rFonts w:ascii="Times New Roman" w:hAnsi="Times New Roman" w:cs="Times New Roman"/>
          <w:bCs/>
          <w:color w:val="000000"/>
        </w:rPr>
        <w:t>porovnaní s rokom 201</w:t>
      </w:r>
      <w:r w:rsidR="005C0E40">
        <w:rPr>
          <w:rFonts w:ascii="Times New Roman" w:hAnsi="Times New Roman" w:cs="Times New Roman"/>
          <w:bCs/>
          <w:color w:val="000000"/>
        </w:rPr>
        <w:t>8</w:t>
      </w:r>
      <w:r w:rsidRPr="000750E4">
        <w:rPr>
          <w:rFonts w:ascii="Times New Roman" w:hAnsi="Times New Roman" w:cs="Times New Roman"/>
          <w:bCs/>
          <w:color w:val="000000"/>
        </w:rPr>
        <w:t xml:space="preserve"> mesto dosiahlo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nárast </w:t>
      </w:r>
      <w:r w:rsidR="009727CC" w:rsidRPr="000750E4">
        <w:rPr>
          <w:rFonts w:ascii="Times New Roman" w:hAnsi="Times New Roman" w:cs="Times New Roman"/>
          <w:b/>
          <w:bCs/>
          <w:color w:val="000000"/>
        </w:rPr>
        <w:t>bežných príjmov</w:t>
      </w:r>
      <w:r w:rsidR="000F0689" w:rsidRPr="000750E4">
        <w:rPr>
          <w:rFonts w:ascii="Times New Roman" w:hAnsi="Times New Roman" w:cs="Times New Roman"/>
          <w:b/>
          <w:bCs/>
          <w:color w:val="000000"/>
        </w:rPr>
        <w:t xml:space="preserve"> o</w:t>
      </w:r>
      <w:r w:rsidR="005C0E40">
        <w:rPr>
          <w:rFonts w:ascii="Times New Roman" w:hAnsi="Times New Roman" w:cs="Times New Roman"/>
          <w:b/>
          <w:bCs/>
          <w:color w:val="000000"/>
        </w:rPr>
        <w:t xml:space="preserve"> 1.449.097€ (r.2018/2017 </w:t>
      </w:r>
      <w:r w:rsidR="00800D2C">
        <w:rPr>
          <w:rFonts w:ascii="Times New Roman" w:hAnsi="Times New Roman" w:cs="Times New Roman"/>
          <w:b/>
          <w:bCs/>
          <w:color w:val="000000"/>
        </w:rPr>
        <w:t>1.475.931</w:t>
      </w:r>
      <w:r w:rsidR="005C0E40">
        <w:rPr>
          <w:rFonts w:ascii="Times New Roman" w:hAnsi="Times New Roman" w:cs="Times New Roman"/>
          <w:b/>
          <w:bCs/>
          <w:color w:val="000000"/>
        </w:rPr>
        <w:t xml:space="preserve">€, </w:t>
      </w:r>
      <w:r w:rsidR="00605F44">
        <w:rPr>
          <w:rFonts w:ascii="Times New Roman" w:hAnsi="Times New Roman" w:cs="Times New Roman"/>
          <w:b/>
          <w:bCs/>
          <w:color w:val="000000"/>
        </w:rPr>
        <w:t xml:space="preserve">r.2017/2016 </w:t>
      </w:r>
      <w:r w:rsidR="000F0689" w:rsidRPr="000750E4">
        <w:rPr>
          <w:rFonts w:ascii="Times New Roman" w:hAnsi="Times New Roman" w:cs="Times New Roman"/>
          <w:b/>
          <w:bCs/>
          <w:color w:val="000000"/>
        </w:rPr>
        <w:t>693.774€</w:t>
      </w:r>
      <w:r w:rsidR="00605F44">
        <w:rPr>
          <w:rFonts w:ascii="Times New Roman" w:hAnsi="Times New Roman" w:cs="Times New Roman"/>
          <w:b/>
          <w:bCs/>
          <w:color w:val="000000"/>
        </w:rPr>
        <w:t>)</w:t>
      </w:r>
      <w:r w:rsidR="009727CC" w:rsidRPr="000750E4">
        <w:rPr>
          <w:rFonts w:ascii="Times New Roman" w:hAnsi="Times New Roman" w:cs="Times New Roman"/>
          <w:bCs/>
          <w:color w:val="000000"/>
        </w:rPr>
        <w:t xml:space="preserve">, pričom najvýraznejší nárast dosiahlo v položke </w:t>
      </w:r>
      <w:r w:rsidR="00571C77">
        <w:rPr>
          <w:rFonts w:ascii="Times New Roman" w:hAnsi="Times New Roman" w:cs="Times New Roman"/>
          <w:bCs/>
          <w:color w:val="000000"/>
        </w:rPr>
        <w:t>granty a</w:t>
      </w:r>
      <w:r w:rsidR="00E16AE6">
        <w:rPr>
          <w:rFonts w:ascii="Times New Roman" w:hAnsi="Times New Roman" w:cs="Times New Roman"/>
          <w:bCs/>
          <w:color w:val="000000"/>
        </w:rPr>
        <w:t xml:space="preserve"> transfery </w:t>
      </w:r>
      <w:r w:rsidR="00571C77">
        <w:rPr>
          <w:rFonts w:ascii="Times New Roman" w:hAnsi="Times New Roman" w:cs="Times New Roman"/>
          <w:bCs/>
          <w:color w:val="000000"/>
        </w:rPr>
        <w:t xml:space="preserve">738.856€ a položke </w:t>
      </w:r>
      <w:r w:rsidR="00797DFE" w:rsidRPr="000750E4">
        <w:rPr>
          <w:rFonts w:ascii="Times New Roman" w:hAnsi="Times New Roman" w:cs="Times New Roman"/>
          <w:bCs/>
          <w:color w:val="000000"/>
        </w:rPr>
        <w:t xml:space="preserve">podielových daní </w:t>
      </w:r>
      <w:r w:rsidR="00DE74E0" w:rsidRPr="000750E4">
        <w:rPr>
          <w:rFonts w:ascii="Times New Roman" w:hAnsi="Times New Roman" w:cs="Times New Roman"/>
          <w:bCs/>
          <w:color w:val="000000"/>
        </w:rPr>
        <w:t xml:space="preserve">vo výške </w:t>
      </w:r>
      <w:r w:rsidR="005C0E40">
        <w:rPr>
          <w:rFonts w:ascii="Times New Roman" w:hAnsi="Times New Roman" w:cs="Times New Roman"/>
          <w:bCs/>
          <w:color w:val="000000"/>
        </w:rPr>
        <w:t xml:space="preserve">699.483€, (r.2018/2017 611.559€, </w:t>
      </w:r>
      <w:r w:rsidR="00800D2C">
        <w:rPr>
          <w:rFonts w:ascii="Times New Roman" w:hAnsi="Times New Roman" w:cs="Times New Roman"/>
          <w:bCs/>
          <w:color w:val="000000"/>
        </w:rPr>
        <w:t xml:space="preserve">r.2017/2016 404.997€, </w:t>
      </w:r>
      <w:r w:rsidR="000F0689" w:rsidRPr="000750E4">
        <w:rPr>
          <w:rFonts w:ascii="Times New Roman" w:hAnsi="Times New Roman" w:cs="Times New Roman"/>
          <w:bCs/>
          <w:color w:val="000000"/>
        </w:rPr>
        <w:t xml:space="preserve">r. 2016/2015 </w:t>
      </w:r>
      <w:r w:rsidR="00650ABD" w:rsidRPr="000750E4">
        <w:rPr>
          <w:rFonts w:ascii="Times New Roman" w:hAnsi="Times New Roman" w:cs="Times New Roman"/>
          <w:bCs/>
          <w:color w:val="000000"/>
        </w:rPr>
        <w:t>688.665€</w:t>
      </w:r>
      <w:r w:rsidR="00444014" w:rsidRPr="000750E4">
        <w:rPr>
          <w:rFonts w:ascii="Times New Roman" w:hAnsi="Times New Roman" w:cs="Times New Roman"/>
          <w:bCs/>
          <w:color w:val="000000"/>
        </w:rPr>
        <w:t xml:space="preserve"> </w:t>
      </w:r>
      <w:r w:rsidR="00DE74E0" w:rsidRPr="000750E4">
        <w:rPr>
          <w:rFonts w:ascii="Times New Roman" w:hAnsi="Times New Roman" w:cs="Times New Roman"/>
          <w:bCs/>
          <w:color w:val="000000"/>
        </w:rPr>
        <w:t>€</w:t>
      </w:r>
      <w:r w:rsidR="000F0689" w:rsidRPr="000750E4">
        <w:rPr>
          <w:rFonts w:ascii="Times New Roman" w:hAnsi="Times New Roman" w:cs="Times New Roman"/>
          <w:bCs/>
          <w:color w:val="000000"/>
        </w:rPr>
        <w:t>)</w:t>
      </w:r>
      <w:r w:rsidR="00571C77">
        <w:rPr>
          <w:rFonts w:ascii="Times New Roman" w:hAnsi="Times New Roman" w:cs="Times New Roman"/>
          <w:bCs/>
          <w:color w:val="000000"/>
        </w:rPr>
        <w:t xml:space="preserve">. </w:t>
      </w:r>
      <w:r w:rsidR="006D305C" w:rsidRPr="000750E4">
        <w:rPr>
          <w:rFonts w:ascii="Times New Roman" w:hAnsi="Times New Roman" w:cs="Times New Roman"/>
          <w:b/>
          <w:bCs/>
          <w:color w:val="000000"/>
        </w:rPr>
        <w:t>Pokles príjmov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 mesto zaznamenalo</w:t>
      </w:r>
      <w:r w:rsidR="00A255E9">
        <w:rPr>
          <w:rFonts w:ascii="Times New Roman" w:hAnsi="Times New Roman" w:cs="Times New Roman"/>
          <w:bCs/>
          <w:color w:val="000000"/>
        </w:rPr>
        <w:t xml:space="preserve"> na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 </w:t>
      </w:r>
      <w:r w:rsidR="00800D2C" w:rsidRPr="00800D2C">
        <w:rPr>
          <w:rFonts w:ascii="Times New Roman" w:hAnsi="Times New Roman" w:cs="Times New Roman"/>
          <w:b/>
          <w:bCs/>
          <w:color w:val="000000"/>
        </w:rPr>
        <w:t>dani z</w:t>
      </w:r>
      <w:r w:rsidR="00D825C2">
        <w:rPr>
          <w:rFonts w:ascii="Times New Roman" w:hAnsi="Times New Roman" w:cs="Times New Roman"/>
          <w:b/>
          <w:bCs/>
          <w:color w:val="000000"/>
        </w:rPr>
        <w:t xml:space="preserve">a nevýherné hracie prístroje, daň za verejné priestranstvo – MsP, poplatok za odvoz a likvidáciu odpadov, príjmy z prenájmu pozemkov, príjmy z prenájmu budov, správne poplatky – žiadosti, vstupné, rybárske lístky, administratívne poplatky a ďalšie administratívne poplatky. </w:t>
      </w:r>
      <w:r w:rsidR="003473C6" w:rsidRPr="000750E4">
        <w:rPr>
          <w:rFonts w:ascii="Times New Roman" w:hAnsi="Times New Roman" w:cs="Times New Roman"/>
          <w:bCs/>
          <w:color w:val="000000"/>
        </w:rPr>
        <w:t xml:space="preserve">Mesto </w:t>
      </w:r>
      <w:r w:rsidR="00650ABD" w:rsidRPr="000750E4">
        <w:rPr>
          <w:rFonts w:ascii="Times New Roman" w:hAnsi="Times New Roman" w:cs="Times New Roman"/>
          <w:bCs/>
          <w:color w:val="000000"/>
        </w:rPr>
        <w:t xml:space="preserve">zaznamenalo </w:t>
      </w:r>
      <w:r w:rsidR="003473C6" w:rsidRPr="000750E4">
        <w:rPr>
          <w:rFonts w:ascii="Times New Roman" w:hAnsi="Times New Roman" w:cs="Times New Roman"/>
          <w:b/>
          <w:bCs/>
          <w:color w:val="000000"/>
        </w:rPr>
        <w:t xml:space="preserve">nárast </w:t>
      </w:r>
      <w:r w:rsidR="00650ABD" w:rsidRPr="000750E4">
        <w:rPr>
          <w:rFonts w:ascii="Times New Roman" w:hAnsi="Times New Roman" w:cs="Times New Roman"/>
          <w:b/>
          <w:bCs/>
          <w:color w:val="000000"/>
        </w:rPr>
        <w:t xml:space="preserve">v oblasti </w:t>
      </w:r>
      <w:r w:rsidR="00800D2C">
        <w:rPr>
          <w:rFonts w:ascii="Times New Roman" w:hAnsi="Times New Roman" w:cs="Times New Roman"/>
          <w:b/>
          <w:bCs/>
          <w:color w:val="000000"/>
        </w:rPr>
        <w:t>dani z nehnuteľností z</w:t>
      </w:r>
      <w:r w:rsidR="00D825C2">
        <w:rPr>
          <w:rFonts w:ascii="Times New Roman" w:hAnsi="Times New Roman" w:cs="Times New Roman"/>
          <w:b/>
          <w:bCs/>
          <w:color w:val="000000"/>
        </w:rPr>
        <w:t> </w:t>
      </w:r>
      <w:r w:rsidR="00800D2C">
        <w:rPr>
          <w:rFonts w:ascii="Times New Roman" w:hAnsi="Times New Roman" w:cs="Times New Roman"/>
          <w:b/>
          <w:bCs/>
          <w:color w:val="000000"/>
        </w:rPr>
        <w:t>pozemkov</w:t>
      </w:r>
      <w:r w:rsidR="00D825C2">
        <w:rPr>
          <w:rFonts w:ascii="Times New Roman" w:hAnsi="Times New Roman" w:cs="Times New Roman"/>
          <w:b/>
          <w:bCs/>
          <w:color w:val="000000"/>
        </w:rPr>
        <w:t xml:space="preserve"> a zo stavieb, daň z nehnuteľností z bytov a nebytových priestorov, majetkové dane</w:t>
      </w:r>
      <w:r w:rsidR="00302556">
        <w:rPr>
          <w:rFonts w:ascii="Times New Roman" w:hAnsi="Times New Roman" w:cs="Times New Roman"/>
          <w:b/>
          <w:bCs/>
          <w:color w:val="000000"/>
        </w:rPr>
        <w:t xml:space="preserve"> (pozn. vplyvom zvýšenia daňovej sadzby)</w:t>
      </w:r>
      <w:r w:rsidR="00D825C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F76019" w:rsidRPr="00E607A6">
        <w:rPr>
          <w:rFonts w:ascii="Times New Roman" w:hAnsi="Times New Roman" w:cs="Times New Roman"/>
          <w:b/>
          <w:bCs/>
          <w:color w:val="000000"/>
        </w:rPr>
        <w:t>Opakovane v roku 201</w:t>
      </w:r>
      <w:r w:rsidR="00D825C2">
        <w:rPr>
          <w:rFonts w:ascii="Times New Roman" w:hAnsi="Times New Roman" w:cs="Times New Roman"/>
          <w:b/>
          <w:bCs/>
          <w:color w:val="000000"/>
        </w:rPr>
        <w:t>9</w:t>
      </w:r>
      <w:r w:rsidR="00F76019" w:rsidRPr="00E607A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473C6" w:rsidRPr="00E607A6">
        <w:rPr>
          <w:rFonts w:ascii="Times New Roman" w:hAnsi="Times New Roman" w:cs="Times New Roman"/>
          <w:b/>
          <w:bCs/>
          <w:color w:val="000000"/>
        </w:rPr>
        <w:t xml:space="preserve">je potrebné zdôrazniť, že mesto dlhodobo nepokrýva v oblasti výnosu z poplatku za komunálny odpad a drobný stavebný odpad náklady na likvidáciu komunálneho odpadu a drobného stavebného odpadu </w:t>
      </w:r>
      <w:r w:rsidR="003473C6" w:rsidRPr="000750E4">
        <w:rPr>
          <w:rFonts w:ascii="Times New Roman" w:hAnsi="Times New Roman" w:cs="Times New Roman"/>
          <w:bCs/>
          <w:color w:val="000000"/>
        </w:rPr>
        <w:t>(vyfinancovanie tohto rozdielu tak zvyšuje nároky na výdavkovú časť rozpočtu obce)</w:t>
      </w:r>
      <w:r w:rsidR="00F76019" w:rsidRPr="000750E4">
        <w:rPr>
          <w:rFonts w:ascii="Times New Roman" w:hAnsi="Times New Roman" w:cs="Times New Roman"/>
          <w:bCs/>
          <w:color w:val="000000"/>
        </w:rPr>
        <w:t xml:space="preserve">, </w:t>
      </w:r>
      <w:r w:rsidR="00F76019" w:rsidRPr="00A255E9">
        <w:rPr>
          <w:rFonts w:ascii="Times New Roman" w:hAnsi="Times New Roman" w:cs="Times New Roman"/>
          <w:b/>
          <w:bCs/>
          <w:color w:val="000000"/>
        </w:rPr>
        <w:t xml:space="preserve">rozdiel príjmov a výdavkov predstavuje </w:t>
      </w:r>
      <w:r w:rsidR="00F46E16">
        <w:rPr>
          <w:rFonts w:ascii="Times New Roman" w:hAnsi="Times New Roman" w:cs="Times New Roman"/>
          <w:b/>
          <w:bCs/>
          <w:color w:val="000000"/>
        </w:rPr>
        <w:t>151.168</w:t>
      </w:r>
      <w:r w:rsidR="00B32681">
        <w:rPr>
          <w:rFonts w:ascii="Times New Roman" w:hAnsi="Times New Roman" w:cs="Times New Roman"/>
          <w:b/>
          <w:bCs/>
          <w:color w:val="000000"/>
        </w:rPr>
        <w:t>€</w:t>
      </w:r>
      <w:r w:rsidR="00F46E16">
        <w:rPr>
          <w:rFonts w:ascii="Times New Roman" w:hAnsi="Times New Roman" w:cs="Times New Roman"/>
          <w:b/>
          <w:bCs/>
          <w:color w:val="000000"/>
        </w:rPr>
        <w:t xml:space="preserve"> (+ </w:t>
      </w:r>
      <w:proofErr w:type="spellStart"/>
      <w:r w:rsidR="00F46E16">
        <w:rPr>
          <w:rFonts w:ascii="Times New Roman" w:hAnsi="Times New Roman" w:cs="Times New Roman"/>
          <w:b/>
          <w:bCs/>
          <w:color w:val="000000"/>
        </w:rPr>
        <w:t>výdavkv</w:t>
      </w:r>
      <w:proofErr w:type="spellEnd"/>
      <w:r w:rsidR="00F46E16">
        <w:rPr>
          <w:rFonts w:ascii="Times New Roman" w:hAnsi="Times New Roman" w:cs="Times New Roman"/>
          <w:b/>
          <w:bCs/>
          <w:color w:val="000000"/>
        </w:rPr>
        <w:t xml:space="preserve"> na údržbu VZ a </w:t>
      </w:r>
      <w:proofErr w:type="spellStart"/>
      <w:r w:rsidR="00F46E16">
        <w:rPr>
          <w:rFonts w:ascii="Times New Roman" w:hAnsi="Times New Roman" w:cs="Times New Roman"/>
          <w:b/>
          <w:bCs/>
          <w:color w:val="000000"/>
        </w:rPr>
        <w:t>kompostárne</w:t>
      </w:r>
      <w:proofErr w:type="spellEnd"/>
      <w:r w:rsidR="00F46E16">
        <w:rPr>
          <w:rFonts w:ascii="Times New Roman" w:hAnsi="Times New Roman" w:cs="Times New Roman"/>
          <w:b/>
          <w:bCs/>
          <w:color w:val="000000"/>
        </w:rPr>
        <w:t xml:space="preserve"> 160.075€)</w:t>
      </w:r>
      <w:r w:rsidR="00B32681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B32681" w:rsidRPr="00F46E16">
        <w:rPr>
          <w:rFonts w:ascii="Times New Roman" w:hAnsi="Times New Roman" w:cs="Times New Roman"/>
          <w:b/>
          <w:bCs/>
          <w:color w:val="000000"/>
        </w:rPr>
        <w:t>(r.2018 117.272€</w:t>
      </w:r>
      <w:r w:rsidR="00F46E16" w:rsidRPr="00F46E16">
        <w:rPr>
          <w:rFonts w:ascii="Times New Roman" w:hAnsi="Times New Roman" w:cs="Times New Roman"/>
          <w:b/>
          <w:bCs/>
          <w:color w:val="000000"/>
        </w:rPr>
        <w:t xml:space="preserve"> (+ výdavky ÚVZ a K 180.434€)</w:t>
      </w:r>
      <w:r w:rsidR="00B32681" w:rsidRPr="00F46E16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E607A6" w:rsidRPr="00F46E16">
        <w:rPr>
          <w:rFonts w:ascii="Times New Roman" w:hAnsi="Times New Roman" w:cs="Times New Roman"/>
          <w:b/>
          <w:bCs/>
          <w:color w:val="000000"/>
        </w:rPr>
        <w:t xml:space="preserve">r. 2017 </w:t>
      </w:r>
      <w:r w:rsidR="00F76019" w:rsidRPr="00F46E16">
        <w:rPr>
          <w:rFonts w:ascii="Times New Roman" w:hAnsi="Times New Roman" w:cs="Times New Roman"/>
          <w:b/>
          <w:bCs/>
          <w:color w:val="000000"/>
        </w:rPr>
        <w:t>110.101</w:t>
      </w:r>
      <w:r w:rsidR="00F46E16" w:rsidRPr="00F46E16">
        <w:rPr>
          <w:rFonts w:ascii="Times New Roman" w:hAnsi="Times New Roman" w:cs="Times New Roman"/>
          <w:b/>
          <w:bCs/>
          <w:color w:val="000000"/>
        </w:rPr>
        <w:t xml:space="preserve"> (+ výdavky ÚVZ a K 163.923</w:t>
      </w:r>
      <w:r w:rsidR="00F76019" w:rsidRPr="00F46E16">
        <w:rPr>
          <w:rFonts w:ascii="Times New Roman" w:hAnsi="Times New Roman" w:cs="Times New Roman"/>
          <w:b/>
          <w:bCs/>
          <w:color w:val="000000"/>
        </w:rPr>
        <w:t>€.</w:t>
      </w:r>
      <w:r w:rsidR="00E607A6" w:rsidRPr="00F46E16">
        <w:rPr>
          <w:rFonts w:ascii="Times New Roman" w:hAnsi="Times New Roman" w:cs="Times New Roman"/>
          <w:b/>
          <w:bCs/>
          <w:color w:val="000000"/>
        </w:rPr>
        <w:t>)</w:t>
      </w:r>
      <w:r w:rsidR="003473C6" w:rsidRPr="00A255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V oblasti </w:t>
      </w:r>
      <w:r w:rsidR="006D305C" w:rsidRPr="00A255E9">
        <w:rPr>
          <w:rFonts w:ascii="Times New Roman" w:hAnsi="Times New Roman" w:cs="Times New Roman"/>
          <w:b/>
          <w:bCs/>
          <w:color w:val="000000"/>
        </w:rPr>
        <w:t>príjmov z</w:t>
      </w:r>
      <w:r w:rsidR="00DE74E0" w:rsidRPr="00A255E9">
        <w:rPr>
          <w:rFonts w:ascii="Times New Roman" w:hAnsi="Times New Roman" w:cs="Times New Roman"/>
          <w:b/>
          <w:bCs/>
          <w:color w:val="000000"/>
        </w:rPr>
        <w:t> </w:t>
      </w:r>
      <w:r w:rsidR="00797DFE" w:rsidRPr="00A255E9">
        <w:rPr>
          <w:rFonts w:ascii="Times New Roman" w:hAnsi="Times New Roman" w:cs="Times New Roman"/>
          <w:b/>
          <w:bCs/>
          <w:color w:val="000000"/>
        </w:rPr>
        <w:t>vlastníctva</w:t>
      </w:r>
      <w:r w:rsidR="00DE74E0" w:rsidRPr="00A255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D305C" w:rsidRPr="00A255E9">
        <w:rPr>
          <w:rFonts w:ascii="Times New Roman" w:hAnsi="Times New Roman" w:cs="Times New Roman"/>
          <w:b/>
          <w:bCs/>
          <w:color w:val="000000"/>
        </w:rPr>
        <w:t>došlo k</w:t>
      </w:r>
      <w:r w:rsidR="00F76019" w:rsidRPr="00A255E9">
        <w:rPr>
          <w:rFonts w:ascii="Times New Roman" w:hAnsi="Times New Roman" w:cs="Times New Roman"/>
          <w:b/>
          <w:bCs/>
          <w:color w:val="000000"/>
        </w:rPr>
        <w:t xml:space="preserve"> poklesu príjmov </w:t>
      </w:r>
      <w:r w:rsidR="00F76019" w:rsidRPr="000750E4">
        <w:rPr>
          <w:rFonts w:ascii="Times New Roman" w:hAnsi="Times New Roman" w:cs="Times New Roman"/>
          <w:bCs/>
          <w:color w:val="000000"/>
        </w:rPr>
        <w:t>o</w:t>
      </w:r>
      <w:r w:rsidR="00F46E16">
        <w:rPr>
          <w:rFonts w:ascii="Times New Roman" w:hAnsi="Times New Roman" w:cs="Times New Roman"/>
          <w:bCs/>
          <w:color w:val="000000"/>
        </w:rPr>
        <w:t xml:space="preserve">14.212€ (r.2018/2017 45.121€, </w:t>
      </w:r>
      <w:r w:rsidR="00E607A6">
        <w:rPr>
          <w:rFonts w:ascii="Times New Roman" w:hAnsi="Times New Roman" w:cs="Times New Roman"/>
          <w:bCs/>
          <w:color w:val="000000"/>
        </w:rPr>
        <w:t xml:space="preserve">r.2017/2016 20.122€, </w:t>
      </w:r>
      <w:r w:rsidR="00F76019" w:rsidRPr="000750E4">
        <w:rPr>
          <w:rFonts w:ascii="Times New Roman" w:hAnsi="Times New Roman" w:cs="Times New Roman"/>
          <w:bCs/>
          <w:color w:val="000000"/>
        </w:rPr>
        <w:t>r. 2016</w:t>
      </w:r>
      <w:r w:rsidR="00E607A6">
        <w:rPr>
          <w:rFonts w:ascii="Times New Roman" w:hAnsi="Times New Roman" w:cs="Times New Roman"/>
          <w:bCs/>
          <w:color w:val="000000"/>
        </w:rPr>
        <w:t>/2015</w:t>
      </w:r>
      <w:r w:rsidR="00F76019" w:rsidRPr="000750E4">
        <w:rPr>
          <w:rFonts w:ascii="Times New Roman" w:hAnsi="Times New Roman" w:cs="Times New Roman"/>
          <w:bCs/>
          <w:color w:val="000000"/>
        </w:rPr>
        <w:t xml:space="preserve"> k </w:t>
      </w:r>
      <w:r w:rsidR="006D305C" w:rsidRPr="000750E4">
        <w:rPr>
          <w:rFonts w:ascii="Times New Roman" w:hAnsi="Times New Roman" w:cs="Times New Roman"/>
          <w:b/>
          <w:bCs/>
          <w:color w:val="000000"/>
        </w:rPr>
        <w:t>nárastu príjmov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 o</w:t>
      </w:r>
      <w:r w:rsidR="00650ABD" w:rsidRPr="000750E4">
        <w:rPr>
          <w:rFonts w:ascii="Times New Roman" w:hAnsi="Times New Roman" w:cs="Times New Roman"/>
          <w:bCs/>
          <w:color w:val="000000"/>
        </w:rPr>
        <w:t> 21.391</w:t>
      </w:r>
      <w:r w:rsidR="00297D7F" w:rsidRPr="000750E4">
        <w:rPr>
          <w:rFonts w:ascii="Times New Roman" w:hAnsi="Times New Roman" w:cs="Times New Roman"/>
          <w:bCs/>
          <w:color w:val="000000"/>
        </w:rPr>
        <w:t>€</w:t>
      </w:r>
      <w:r w:rsidR="00F76019" w:rsidRPr="000750E4">
        <w:rPr>
          <w:rFonts w:ascii="Times New Roman" w:hAnsi="Times New Roman" w:cs="Times New Roman"/>
          <w:bCs/>
          <w:color w:val="000000"/>
        </w:rPr>
        <w:t>)</w:t>
      </w:r>
      <w:r w:rsidR="006D305C" w:rsidRPr="000750E4">
        <w:rPr>
          <w:rFonts w:ascii="Times New Roman" w:hAnsi="Times New Roman" w:cs="Times New Roman"/>
          <w:bCs/>
          <w:color w:val="000000"/>
        </w:rPr>
        <w:t>.</w:t>
      </w:r>
      <w:r w:rsidR="00E607A6">
        <w:rPr>
          <w:rFonts w:ascii="Times New Roman" w:hAnsi="Times New Roman" w:cs="Times New Roman"/>
          <w:bCs/>
          <w:color w:val="000000"/>
        </w:rPr>
        <w:t xml:space="preserve"> Opakovane je potrebné </w:t>
      </w:r>
      <w:r w:rsidR="00F76019" w:rsidRPr="000750E4">
        <w:rPr>
          <w:rFonts w:ascii="Times New Roman" w:hAnsi="Times New Roman" w:cs="Times New Roman"/>
          <w:bCs/>
          <w:color w:val="000000"/>
        </w:rPr>
        <w:t xml:space="preserve">zdôrazniť, že 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 xml:space="preserve">časť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>z</w:t>
      </w:r>
      <w:r w:rsidR="00F76019" w:rsidRPr="00302556">
        <w:rPr>
          <w:rFonts w:ascii="Times New Roman" w:hAnsi="Times New Roman" w:cs="Times New Roman"/>
          <w:b/>
          <w:bCs/>
          <w:color w:val="000000"/>
        </w:rPr>
        <w:t xml:space="preserve"> očakávaných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 xml:space="preserve">príjmov 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>z prenájmu vlastníctva</w:t>
      </w:r>
      <w:r w:rsidR="00302556" w:rsidRPr="00302556">
        <w:rPr>
          <w:rFonts w:ascii="Times New Roman" w:hAnsi="Times New Roman" w:cs="Times New Roman"/>
          <w:b/>
          <w:bCs/>
          <w:color w:val="000000"/>
        </w:rPr>
        <w:t xml:space="preserve"> (nie účtovaných</w:t>
      </w:r>
      <w:r w:rsidR="00302556">
        <w:rPr>
          <w:rFonts w:ascii="Times New Roman" w:hAnsi="Times New Roman" w:cs="Times New Roman"/>
          <w:b/>
          <w:bCs/>
          <w:color w:val="000000"/>
        </w:rPr>
        <w:t xml:space="preserve"> ani uhrádzaných</w:t>
      </w:r>
      <w:r w:rsidR="00302556" w:rsidRPr="00302556">
        <w:rPr>
          <w:rFonts w:ascii="Times New Roman" w:hAnsi="Times New Roman" w:cs="Times New Roman"/>
          <w:b/>
          <w:bCs/>
          <w:color w:val="000000"/>
        </w:rPr>
        <w:t>)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 xml:space="preserve">je 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 xml:space="preserve">„investovaná“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 xml:space="preserve">prostredníctvom opráv a údržby 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 xml:space="preserve">nebytových priestorov,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 xml:space="preserve">formou 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 xml:space="preserve">kompenzácie dlhodobého nájomného, </w:t>
      </w:r>
      <w:r w:rsidR="00B86117" w:rsidRPr="00302556">
        <w:rPr>
          <w:rFonts w:ascii="Times New Roman" w:hAnsi="Times New Roman" w:cs="Times New Roman"/>
          <w:b/>
          <w:bCs/>
          <w:color w:val="000000"/>
        </w:rPr>
        <w:t>nepresahujúceho 10 rokov</w:t>
      </w:r>
      <w:r w:rsidR="007347F8" w:rsidRPr="00302556">
        <w:rPr>
          <w:rFonts w:ascii="Times New Roman" w:hAnsi="Times New Roman" w:cs="Times New Roman"/>
          <w:b/>
          <w:bCs/>
          <w:color w:val="000000"/>
        </w:rPr>
        <w:t>.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 </w:t>
      </w:r>
      <w:r w:rsidR="00DE74E0" w:rsidRPr="000750E4">
        <w:rPr>
          <w:rFonts w:ascii="Times New Roman" w:hAnsi="Times New Roman" w:cs="Times New Roman"/>
          <w:bCs/>
          <w:color w:val="000000"/>
        </w:rPr>
        <w:t xml:space="preserve">V oblasti kapitálových príjmov mesto zaznamenalo v medziročnom období </w:t>
      </w:r>
      <w:r w:rsidR="00B52021">
        <w:rPr>
          <w:rFonts w:ascii="Times New Roman" w:hAnsi="Times New Roman" w:cs="Times New Roman"/>
          <w:bCs/>
          <w:color w:val="000000"/>
        </w:rPr>
        <w:t xml:space="preserve">mierny nárast 36.906€, (r.2018/2017 </w:t>
      </w:r>
      <w:r w:rsidR="00240AA3" w:rsidRPr="000750E4">
        <w:rPr>
          <w:rFonts w:ascii="Times New Roman" w:hAnsi="Times New Roman" w:cs="Times New Roman"/>
          <w:bCs/>
          <w:color w:val="000000"/>
        </w:rPr>
        <w:t xml:space="preserve">rapídny </w:t>
      </w:r>
      <w:r w:rsidR="00B52021">
        <w:rPr>
          <w:rFonts w:ascii="Times New Roman" w:hAnsi="Times New Roman" w:cs="Times New Roman"/>
          <w:bCs/>
          <w:color w:val="000000"/>
        </w:rPr>
        <w:t xml:space="preserve">nárast </w:t>
      </w:r>
      <w:r w:rsidR="0008680E">
        <w:rPr>
          <w:rFonts w:ascii="Times New Roman" w:hAnsi="Times New Roman" w:cs="Times New Roman"/>
          <w:bCs/>
          <w:color w:val="000000"/>
        </w:rPr>
        <w:t>617.642€</w:t>
      </w:r>
      <w:r w:rsidR="00B52021">
        <w:rPr>
          <w:rFonts w:ascii="Times New Roman" w:hAnsi="Times New Roman" w:cs="Times New Roman"/>
          <w:bCs/>
          <w:color w:val="000000"/>
        </w:rPr>
        <w:t xml:space="preserve">, </w:t>
      </w:r>
      <w:r w:rsidR="0008680E">
        <w:rPr>
          <w:rFonts w:ascii="Times New Roman" w:hAnsi="Times New Roman" w:cs="Times New Roman"/>
          <w:bCs/>
          <w:color w:val="000000"/>
        </w:rPr>
        <w:t>r.2017/2016 pokles o 1.145.456€</w:t>
      </w:r>
      <w:r w:rsidR="00B52021">
        <w:rPr>
          <w:rFonts w:ascii="Times New Roman" w:hAnsi="Times New Roman" w:cs="Times New Roman"/>
          <w:bCs/>
          <w:color w:val="000000"/>
        </w:rPr>
        <w:t>)</w:t>
      </w:r>
      <w:r w:rsidR="0008680E">
        <w:rPr>
          <w:rFonts w:ascii="Times New Roman" w:hAnsi="Times New Roman" w:cs="Times New Roman"/>
          <w:bCs/>
          <w:color w:val="000000"/>
        </w:rPr>
        <w:t xml:space="preserve"> </w:t>
      </w:r>
      <w:r w:rsidR="006D305C" w:rsidRPr="000750E4">
        <w:rPr>
          <w:rFonts w:ascii="Times New Roman" w:hAnsi="Times New Roman" w:cs="Times New Roman"/>
          <w:bCs/>
          <w:color w:val="000000"/>
        </w:rPr>
        <w:t xml:space="preserve">vlastných aj </w:t>
      </w:r>
      <w:r w:rsidR="00C113F5" w:rsidRPr="000750E4">
        <w:rPr>
          <w:rFonts w:ascii="Times New Roman" w:hAnsi="Times New Roman" w:cs="Times New Roman"/>
          <w:bCs/>
          <w:color w:val="000000"/>
        </w:rPr>
        <w:t>cudzích</w:t>
      </w:r>
      <w:r w:rsidR="0008680E">
        <w:rPr>
          <w:rFonts w:ascii="Times New Roman" w:hAnsi="Times New Roman" w:cs="Times New Roman"/>
          <w:bCs/>
          <w:color w:val="000000"/>
        </w:rPr>
        <w:t xml:space="preserve"> kapitálových príjmov. </w:t>
      </w:r>
      <w:r w:rsidR="00A75C3A" w:rsidRPr="000750E4">
        <w:rPr>
          <w:rFonts w:ascii="Times New Roman" w:hAnsi="Times New Roman" w:cs="Times New Roman"/>
          <w:bCs/>
          <w:color w:val="000000"/>
        </w:rPr>
        <w:t xml:space="preserve">Prehľad vývoja daňových a nedaňových príjmov je </w:t>
      </w:r>
      <w:r w:rsidR="0008680E">
        <w:rPr>
          <w:rFonts w:ascii="Times New Roman" w:hAnsi="Times New Roman" w:cs="Times New Roman"/>
          <w:bCs/>
          <w:color w:val="000000"/>
        </w:rPr>
        <w:t>uvedený v tab. č. 3</w:t>
      </w:r>
      <w:r w:rsidR="00A75C3A" w:rsidRPr="000750E4">
        <w:rPr>
          <w:rFonts w:ascii="Times New Roman" w:hAnsi="Times New Roman" w:cs="Times New Roman"/>
          <w:bCs/>
          <w:color w:val="000000"/>
        </w:rPr>
        <w:t xml:space="preserve">. </w:t>
      </w:r>
    </w:p>
    <w:p w:rsidR="006D305C" w:rsidRPr="000750E4" w:rsidRDefault="006D305C" w:rsidP="002565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FD62A1" w:rsidRPr="000750E4" w:rsidRDefault="00FD62A1" w:rsidP="007347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750E4">
        <w:rPr>
          <w:rFonts w:ascii="Times New Roman" w:hAnsi="Times New Roman" w:cs="Times New Roman"/>
          <w:bCs/>
          <w:color w:val="000000"/>
        </w:rPr>
        <w:t>Na zákl</w:t>
      </w:r>
      <w:r w:rsidR="00AD5FB8" w:rsidRPr="000750E4">
        <w:rPr>
          <w:rFonts w:ascii="Times New Roman" w:hAnsi="Times New Roman" w:cs="Times New Roman"/>
          <w:bCs/>
          <w:color w:val="000000"/>
        </w:rPr>
        <w:t>ade spracovaných analytických vy</w:t>
      </w:r>
      <w:r w:rsidRPr="000750E4">
        <w:rPr>
          <w:rFonts w:ascii="Times New Roman" w:hAnsi="Times New Roman" w:cs="Times New Roman"/>
          <w:bCs/>
          <w:color w:val="000000"/>
        </w:rPr>
        <w:t xml:space="preserve">hodnotení </w:t>
      </w:r>
      <w:r w:rsidR="00AD5FB8" w:rsidRPr="000750E4">
        <w:rPr>
          <w:rFonts w:ascii="Times New Roman" w:hAnsi="Times New Roman" w:cs="Times New Roman"/>
          <w:bCs/>
          <w:color w:val="000000"/>
        </w:rPr>
        <w:t xml:space="preserve">je </w:t>
      </w:r>
      <w:r w:rsidRPr="000750E4">
        <w:rPr>
          <w:rFonts w:ascii="Times New Roman" w:hAnsi="Times New Roman" w:cs="Times New Roman"/>
          <w:bCs/>
          <w:color w:val="000000"/>
        </w:rPr>
        <w:t xml:space="preserve">možné konštatovať : </w:t>
      </w:r>
    </w:p>
    <w:p w:rsidR="000A6833" w:rsidRPr="000750E4" w:rsidRDefault="000A6833" w:rsidP="00FD62A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750E4">
        <w:rPr>
          <w:rFonts w:ascii="Times New Roman" w:hAnsi="Times New Roman" w:cs="Times New Roman"/>
          <w:b/>
          <w:bCs/>
          <w:color w:val="000000"/>
        </w:rPr>
        <w:t>priaznivý vývoj p</w:t>
      </w:r>
      <w:r w:rsidR="00F76019" w:rsidRPr="000750E4">
        <w:rPr>
          <w:rFonts w:ascii="Times New Roman" w:hAnsi="Times New Roman" w:cs="Times New Roman"/>
          <w:b/>
          <w:bCs/>
          <w:color w:val="000000"/>
        </w:rPr>
        <w:t xml:space="preserve">odielových daňových príjmov za </w:t>
      </w:r>
      <w:r w:rsidR="009E3D50">
        <w:rPr>
          <w:rFonts w:ascii="Times New Roman" w:hAnsi="Times New Roman" w:cs="Times New Roman"/>
          <w:b/>
          <w:bCs/>
          <w:color w:val="000000"/>
        </w:rPr>
        <w:t>10</w:t>
      </w:r>
      <w:r w:rsidR="00CE7D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750E4">
        <w:rPr>
          <w:rFonts w:ascii="Times New Roman" w:hAnsi="Times New Roman" w:cs="Times New Roman"/>
          <w:b/>
          <w:bCs/>
          <w:color w:val="000000"/>
        </w:rPr>
        <w:t>-</w:t>
      </w:r>
      <w:r w:rsidR="00CE7D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750E4">
        <w:rPr>
          <w:rFonts w:ascii="Times New Roman" w:hAnsi="Times New Roman" w:cs="Times New Roman"/>
          <w:b/>
          <w:bCs/>
          <w:color w:val="000000"/>
        </w:rPr>
        <w:t xml:space="preserve">ročné obdobie, </w:t>
      </w:r>
    </w:p>
    <w:p w:rsidR="000A6833" w:rsidRPr="000750E4" w:rsidRDefault="009E3D50" w:rsidP="00FD62A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nárast (2018/2017 </w:t>
      </w:r>
      <w:r w:rsidR="0008680E">
        <w:rPr>
          <w:rFonts w:ascii="Times New Roman" w:hAnsi="Times New Roman" w:cs="Times New Roman"/>
          <w:b/>
          <w:bCs/>
          <w:color w:val="000000"/>
        </w:rPr>
        <w:t>pokles</w:t>
      </w:r>
      <w:r>
        <w:rPr>
          <w:rFonts w:ascii="Times New Roman" w:hAnsi="Times New Roman" w:cs="Times New Roman"/>
          <w:b/>
          <w:bCs/>
          <w:color w:val="000000"/>
        </w:rPr>
        <w:t>)</w:t>
      </w:r>
      <w:r w:rsidR="00F76019" w:rsidRPr="000750E4">
        <w:rPr>
          <w:rFonts w:ascii="Times New Roman" w:hAnsi="Times New Roman" w:cs="Times New Roman"/>
          <w:b/>
          <w:bCs/>
          <w:color w:val="000000"/>
        </w:rPr>
        <w:t xml:space="preserve"> výberu daňových príjmov 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>na dani z nehnuteľnosti v medziročnom období</w:t>
      </w:r>
      <w:r w:rsidR="00F76019" w:rsidRPr="000750E4">
        <w:rPr>
          <w:rFonts w:ascii="Times New Roman" w:hAnsi="Times New Roman" w:cs="Times New Roman"/>
          <w:b/>
          <w:bCs/>
          <w:color w:val="000000"/>
        </w:rPr>
        <w:t xml:space="preserve"> (po ročnom </w:t>
      </w:r>
      <w:r w:rsidR="0008680E">
        <w:rPr>
          <w:rFonts w:ascii="Times New Roman" w:hAnsi="Times New Roman" w:cs="Times New Roman"/>
          <w:b/>
          <w:bCs/>
          <w:color w:val="000000"/>
        </w:rPr>
        <w:t>náraste</w:t>
      </w:r>
      <w:r w:rsidR="00F76019" w:rsidRPr="000750E4">
        <w:rPr>
          <w:rFonts w:ascii="Times New Roman" w:hAnsi="Times New Roman" w:cs="Times New Roman"/>
          <w:b/>
          <w:bCs/>
          <w:color w:val="000000"/>
        </w:rPr>
        <w:t>)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 xml:space="preserve">, </w:t>
      </w:r>
    </w:p>
    <w:p w:rsidR="000A6833" w:rsidRPr="000750E4" w:rsidRDefault="009E3D50" w:rsidP="00FD62A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mierny pokles (po miernom 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>nárast</w:t>
      </w:r>
      <w:r>
        <w:rPr>
          <w:rFonts w:ascii="Times New Roman" w:hAnsi="Times New Roman" w:cs="Times New Roman"/>
          <w:b/>
          <w:bCs/>
          <w:color w:val="000000"/>
        </w:rPr>
        <w:t>e)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 xml:space="preserve"> výberu </w:t>
      </w:r>
      <w:r w:rsidR="007D472B" w:rsidRPr="000750E4">
        <w:rPr>
          <w:rFonts w:ascii="Times New Roman" w:hAnsi="Times New Roman" w:cs="Times New Roman"/>
          <w:b/>
          <w:bCs/>
          <w:color w:val="000000"/>
        </w:rPr>
        <w:t xml:space="preserve">daňových príjmov na 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>miestnych dan</w:t>
      </w:r>
      <w:r w:rsidR="007D472B" w:rsidRPr="000750E4">
        <w:rPr>
          <w:rFonts w:ascii="Times New Roman" w:hAnsi="Times New Roman" w:cs="Times New Roman"/>
          <w:b/>
          <w:bCs/>
          <w:color w:val="000000"/>
        </w:rPr>
        <w:t xml:space="preserve">iach 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>a poplatko</w:t>
      </w:r>
      <w:r w:rsidR="007D472B" w:rsidRPr="000750E4">
        <w:rPr>
          <w:rFonts w:ascii="Times New Roman" w:hAnsi="Times New Roman" w:cs="Times New Roman"/>
          <w:b/>
          <w:bCs/>
          <w:color w:val="000000"/>
        </w:rPr>
        <w:t>ch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80E">
        <w:rPr>
          <w:rFonts w:ascii="Times New Roman" w:hAnsi="Times New Roman" w:cs="Times New Roman"/>
          <w:b/>
          <w:bCs/>
          <w:color w:val="000000"/>
        </w:rPr>
        <w:t>za 4</w:t>
      </w:r>
      <w:r w:rsidR="00CE7D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80E">
        <w:rPr>
          <w:rFonts w:ascii="Times New Roman" w:hAnsi="Times New Roman" w:cs="Times New Roman"/>
          <w:b/>
          <w:bCs/>
          <w:color w:val="000000"/>
        </w:rPr>
        <w:t>-</w:t>
      </w:r>
      <w:r w:rsidR="00CE7D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8680E">
        <w:rPr>
          <w:rFonts w:ascii="Times New Roman" w:hAnsi="Times New Roman" w:cs="Times New Roman"/>
          <w:b/>
          <w:bCs/>
          <w:color w:val="000000"/>
        </w:rPr>
        <w:t>ročné obdobie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 xml:space="preserve">, </w:t>
      </w:r>
    </w:p>
    <w:p w:rsidR="000A6833" w:rsidRPr="009E3D50" w:rsidRDefault="009E3D50" w:rsidP="009E3D5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pokles celkových nedaňových príjmov, ale aj </w:t>
      </w:r>
      <w:r w:rsidR="00F76019" w:rsidRPr="009E3D50">
        <w:rPr>
          <w:rFonts w:ascii="Times New Roman" w:hAnsi="Times New Roman" w:cs="Times New Roman"/>
          <w:b/>
          <w:bCs/>
          <w:color w:val="000000"/>
        </w:rPr>
        <w:t>pokles</w:t>
      </w:r>
      <w:r w:rsidR="000A6833" w:rsidRPr="009E3D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D472B" w:rsidRPr="009E3D50">
        <w:rPr>
          <w:rFonts w:ascii="Times New Roman" w:hAnsi="Times New Roman" w:cs="Times New Roman"/>
          <w:b/>
          <w:bCs/>
          <w:color w:val="000000"/>
        </w:rPr>
        <w:t xml:space="preserve">nedaňových </w:t>
      </w:r>
      <w:r w:rsidR="000A6833" w:rsidRPr="009E3D50">
        <w:rPr>
          <w:rFonts w:ascii="Times New Roman" w:hAnsi="Times New Roman" w:cs="Times New Roman"/>
          <w:b/>
          <w:bCs/>
          <w:color w:val="000000"/>
        </w:rPr>
        <w:t>príjmov v oblasti príjmov z vlastníctva v</w:t>
      </w:r>
      <w:r w:rsidR="00CE7D06" w:rsidRPr="009E3D50">
        <w:rPr>
          <w:rFonts w:ascii="Times New Roman" w:hAnsi="Times New Roman" w:cs="Times New Roman"/>
          <w:b/>
          <w:bCs/>
          <w:color w:val="000000"/>
        </w:rPr>
        <w:t> </w:t>
      </w:r>
      <w:r w:rsidR="0008680E" w:rsidRPr="009E3D50">
        <w:rPr>
          <w:rFonts w:ascii="Times New Roman" w:hAnsi="Times New Roman" w:cs="Times New Roman"/>
          <w:b/>
          <w:bCs/>
          <w:color w:val="000000"/>
        </w:rPr>
        <w:t>5</w:t>
      </w:r>
      <w:r w:rsidR="00CE7D06" w:rsidRPr="009E3D50">
        <w:rPr>
          <w:rFonts w:ascii="Times New Roman" w:hAnsi="Times New Roman" w:cs="Times New Roman"/>
          <w:b/>
          <w:bCs/>
          <w:color w:val="000000"/>
        </w:rPr>
        <w:t xml:space="preserve"> - </w:t>
      </w:r>
      <w:r w:rsidR="0008680E" w:rsidRPr="009E3D50">
        <w:rPr>
          <w:rFonts w:ascii="Times New Roman" w:hAnsi="Times New Roman" w:cs="Times New Roman"/>
          <w:b/>
          <w:bCs/>
          <w:color w:val="000000"/>
        </w:rPr>
        <w:t>ročnom období</w:t>
      </w:r>
      <w:r w:rsidR="000A6833" w:rsidRPr="009E3D50">
        <w:rPr>
          <w:rFonts w:ascii="Times New Roman" w:hAnsi="Times New Roman" w:cs="Times New Roman"/>
          <w:b/>
          <w:bCs/>
          <w:color w:val="000000"/>
        </w:rPr>
        <w:t xml:space="preserve">, </w:t>
      </w:r>
    </w:p>
    <w:p w:rsidR="00CE7D06" w:rsidRPr="000750E4" w:rsidRDefault="00CE7D06" w:rsidP="00FD62A1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nárast príjmov v oblasti grantov a transferov v </w:t>
      </w:r>
      <w:r w:rsidR="009E3D50">
        <w:rPr>
          <w:rFonts w:ascii="Times New Roman" w:hAnsi="Times New Roman" w:cs="Times New Roman"/>
          <w:b/>
          <w:bCs/>
          <w:color w:val="000000"/>
        </w:rPr>
        <w:t>8</w:t>
      </w:r>
      <w:r>
        <w:rPr>
          <w:rFonts w:ascii="Times New Roman" w:hAnsi="Times New Roman" w:cs="Times New Roman"/>
          <w:b/>
          <w:bCs/>
          <w:color w:val="000000"/>
        </w:rPr>
        <w:t xml:space="preserve"> - ročnom období </w:t>
      </w:r>
    </w:p>
    <w:p w:rsidR="000A6833" w:rsidRPr="000750E4" w:rsidRDefault="009E3D50" w:rsidP="000A683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pokles vlastných a </w:t>
      </w:r>
      <w:r w:rsidR="00CE7D06">
        <w:rPr>
          <w:rFonts w:ascii="Times New Roman" w:hAnsi="Times New Roman" w:cs="Times New Roman"/>
          <w:b/>
          <w:bCs/>
          <w:color w:val="000000"/>
        </w:rPr>
        <w:t>nárast</w:t>
      </w:r>
      <w:r w:rsidR="000A6833" w:rsidRPr="000750E4">
        <w:rPr>
          <w:rFonts w:ascii="Times New Roman" w:hAnsi="Times New Roman" w:cs="Times New Roman"/>
          <w:b/>
          <w:bCs/>
          <w:color w:val="000000"/>
        </w:rPr>
        <w:t xml:space="preserve"> cudzích kapitálových príjmov v medziročnom období</w:t>
      </w:r>
      <w:r w:rsidR="000A6833" w:rsidRPr="000750E4">
        <w:rPr>
          <w:rFonts w:ascii="Times New Roman" w:hAnsi="Times New Roman" w:cs="Times New Roman"/>
          <w:bCs/>
          <w:color w:val="000000"/>
        </w:rPr>
        <w:t xml:space="preserve">. </w:t>
      </w:r>
    </w:p>
    <w:p w:rsidR="000A6833" w:rsidRPr="000750E4" w:rsidRDefault="000A6833" w:rsidP="007347F8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F37FC8" w:rsidRPr="000750E4" w:rsidRDefault="00F37FC8" w:rsidP="00AB178F">
      <w:pPr>
        <w:pStyle w:val="Default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 xml:space="preserve">Granty a transfery </w:t>
      </w:r>
    </w:p>
    <w:p w:rsidR="00F37FC8" w:rsidRPr="000750E4" w:rsidRDefault="00F37FC8" w:rsidP="00AB178F">
      <w:pPr>
        <w:pStyle w:val="Default"/>
        <w:jc w:val="both"/>
        <w:rPr>
          <w:bCs/>
          <w:sz w:val="22"/>
          <w:szCs w:val="22"/>
        </w:rPr>
      </w:pPr>
    </w:p>
    <w:p w:rsidR="00A75C3A" w:rsidRPr="000750E4" w:rsidRDefault="00F37FC8" w:rsidP="00AB178F">
      <w:pPr>
        <w:pStyle w:val="Default"/>
        <w:jc w:val="both"/>
        <w:rPr>
          <w:bCs/>
          <w:sz w:val="22"/>
          <w:szCs w:val="22"/>
        </w:rPr>
      </w:pPr>
      <w:r w:rsidRPr="000750E4">
        <w:rPr>
          <w:bCs/>
          <w:sz w:val="22"/>
          <w:szCs w:val="22"/>
        </w:rPr>
        <w:tab/>
      </w:r>
      <w:r w:rsidR="00CE7D06">
        <w:rPr>
          <w:bCs/>
          <w:sz w:val="22"/>
          <w:szCs w:val="22"/>
        </w:rPr>
        <w:t>Granty a transfe</w:t>
      </w:r>
      <w:r w:rsidR="00D149DC" w:rsidRPr="000750E4">
        <w:rPr>
          <w:bCs/>
          <w:sz w:val="22"/>
          <w:szCs w:val="22"/>
        </w:rPr>
        <w:t xml:space="preserve">ry - </w:t>
      </w:r>
      <w:r w:rsidRPr="000750E4">
        <w:rPr>
          <w:bCs/>
          <w:sz w:val="22"/>
          <w:szCs w:val="22"/>
        </w:rPr>
        <w:t>príjmy získané v rám</w:t>
      </w:r>
      <w:r w:rsidR="00D149DC" w:rsidRPr="000750E4">
        <w:rPr>
          <w:bCs/>
          <w:sz w:val="22"/>
          <w:szCs w:val="22"/>
        </w:rPr>
        <w:t>ci sektora verejnej správy, sú</w:t>
      </w:r>
      <w:r w:rsidRPr="000750E4">
        <w:rPr>
          <w:bCs/>
          <w:sz w:val="22"/>
          <w:szCs w:val="22"/>
        </w:rPr>
        <w:t xml:space="preserve"> príjmy účelovo určené na financovanie preneseného v</w:t>
      </w:r>
      <w:r w:rsidR="001F12BB">
        <w:rPr>
          <w:bCs/>
          <w:sz w:val="22"/>
          <w:szCs w:val="22"/>
        </w:rPr>
        <w:t>ýkonu štátnej správy, dotácie z orgánov štátnej sp</w:t>
      </w:r>
      <w:r w:rsidR="00A255E9">
        <w:rPr>
          <w:bCs/>
          <w:sz w:val="22"/>
          <w:szCs w:val="22"/>
        </w:rPr>
        <w:t xml:space="preserve">rávy a verejnej správy, </w:t>
      </w:r>
      <w:proofErr w:type="spellStart"/>
      <w:r w:rsidR="00A255E9">
        <w:rPr>
          <w:bCs/>
          <w:sz w:val="22"/>
          <w:szCs w:val="22"/>
        </w:rPr>
        <w:t>konkr</w:t>
      </w:r>
      <w:proofErr w:type="spellEnd"/>
      <w:r w:rsidR="00A255E9">
        <w:rPr>
          <w:bCs/>
          <w:sz w:val="22"/>
          <w:szCs w:val="22"/>
        </w:rPr>
        <w:t xml:space="preserve">.: </w:t>
      </w:r>
      <w:r w:rsidR="001F12BB">
        <w:rPr>
          <w:bCs/>
          <w:sz w:val="22"/>
          <w:szCs w:val="22"/>
        </w:rPr>
        <w:t xml:space="preserve">Ministerstvo </w:t>
      </w:r>
      <w:r w:rsidRPr="000750E4">
        <w:rPr>
          <w:bCs/>
          <w:sz w:val="22"/>
          <w:szCs w:val="22"/>
        </w:rPr>
        <w:t>práce, sociálnych vecí a rodiny SR, Ministerstv</w:t>
      </w:r>
      <w:r w:rsidR="001F12BB">
        <w:rPr>
          <w:bCs/>
          <w:sz w:val="22"/>
          <w:szCs w:val="22"/>
        </w:rPr>
        <w:t>o</w:t>
      </w:r>
      <w:r w:rsidRPr="000750E4">
        <w:rPr>
          <w:bCs/>
          <w:sz w:val="22"/>
          <w:szCs w:val="22"/>
        </w:rPr>
        <w:t xml:space="preserve"> </w:t>
      </w:r>
      <w:r w:rsidR="00A75C3A" w:rsidRPr="000750E4">
        <w:rPr>
          <w:bCs/>
          <w:sz w:val="22"/>
          <w:szCs w:val="22"/>
        </w:rPr>
        <w:t>dop</w:t>
      </w:r>
      <w:r w:rsidR="001F12BB">
        <w:rPr>
          <w:bCs/>
          <w:sz w:val="22"/>
          <w:szCs w:val="22"/>
        </w:rPr>
        <w:t>ravy a výstavby SR, Ministerstvo vnútra SR, Krajský</w:t>
      </w:r>
      <w:r w:rsidR="00A75C3A" w:rsidRPr="000750E4">
        <w:rPr>
          <w:bCs/>
          <w:sz w:val="22"/>
          <w:szCs w:val="22"/>
        </w:rPr>
        <w:t xml:space="preserve"> školsk</w:t>
      </w:r>
      <w:r w:rsidR="001F12BB">
        <w:rPr>
          <w:bCs/>
          <w:sz w:val="22"/>
          <w:szCs w:val="22"/>
        </w:rPr>
        <w:t xml:space="preserve">ý úrad v Prešove, Úrad </w:t>
      </w:r>
      <w:r w:rsidR="00A75C3A" w:rsidRPr="000750E4">
        <w:rPr>
          <w:bCs/>
          <w:sz w:val="22"/>
          <w:szCs w:val="22"/>
        </w:rPr>
        <w:t>práce sociálnych vecí a</w:t>
      </w:r>
      <w:r w:rsidR="001F12BB">
        <w:rPr>
          <w:bCs/>
          <w:sz w:val="22"/>
          <w:szCs w:val="22"/>
        </w:rPr>
        <w:t> </w:t>
      </w:r>
      <w:r w:rsidR="00A75C3A" w:rsidRPr="000750E4">
        <w:rPr>
          <w:bCs/>
          <w:sz w:val="22"/>
          <w:szCs w:val="22"/>
        </w:rPr>
        <w:t>rodiny</w:t>
      </w:r>
      <w:r w:rsidR="001F12BB">
        <w:rPr>
          <w:bCs/>
          <w:sz w:val="22"/>
          <w:szCs w:val="22"/>
        </w:rPr>
        <w:t xml:space="preserve"> Stará Ľubovňa, Okresný úrad Prešov, odbor starostlivosti o životné prostredie, Okresný úrad Prešov, </w:t>
      </w:r>
      <w:r w:rsidR="00B92DDA">
        <w:rPr>
          <w:bCs/>
          <w:sz w:val="22"/>
          <w:szCs w:val="22"/>
        </w:rPr>
        <w:t>odbor výstavby a bytovej politiky</w:t>
      </w:r>
      <w:r w:rsidR="000F4E45" w:rsidRPr="000750E4">
        <w:rPr>
          <w:bCs/>
          <w:sz w:val="22"/>
          <w:szCs w:val="22"/>
        </w:rPr>
        <w:t xml:space="preserve">, </w:t>
      </w:r>
      <w:r w:rsidR="00B92DDA">
        <w:rPr>
          <w:bCs/>
          <w:sz w:val="22"/>
          <w:szCs w:val="22"/>
        </w:rPr>
        <w:t xml:space="preserve">Okresný úrad Prešov, odbor cestnej dopravy a pozemných </w:t>
      </w:r>
      <w:r w:rsidR="000F4E45" w:rsidRPr="000750E4">
        <w:rPr>
          <w:bCs/>
          <w:sz w:val="22"/>
          <w:szCs w:val="22"/>
        </w:rPr>
        <w:t>komunikáci</w:t>
      </w:r>
      <w:r w:rsidR="00B92DDA">
        <w:rPr>
          <w:bCs/>
          <w:sz w:val="22"/>
          <w:szCs w:val="22"/>
        </w:rPr>
        <w:t>í</w:t>
      </w:r>
      <w:r w:rsidR="000F4E45" w:rsidRPr="000750E4">
        <w:rPr>
          <w:bCs/>
          <w:sz w:val="22"/>
          <w:szCs w:val="22"/>
        </w:rPr>
        <w:t xml:space="preserve">, </w:t>
      </w:r>
      <w:r w:rsidR="00B92DDA">
        <w:rPr>
          <w:bCs/>
          <w:sz w:val="22"/>
          <w:szCs w:val="22"/>
        </w:rPr>
        <w:t xml:space="preserve">združené prostriedky obcí </w:t>
      </w:r>
      <w:r w:rsidR="00A75C3A" w:rsidRPr="000750E4">
        <w:rPr>
          <w:bCs/>
          <w:sz w:val="22"/>
          <w:szCs w:val="22"/>
        </w:rPr>
        <w:t xml:space="preserve">na úhradu nákladov súvisiacich s výkonom činnosti spoločného obecného </w:t>
      </w:r>
      <w:r w:rsidR="00A75C3A" w:rsidRPr="000750E4">
        <w:rPr>
          <w:bCs/>
          <w:sz w:val="22"/>
          <w:szCs w:val="22"/>
        </w:rPr>
        <w:lastRenderedPageBreak/>
        <w:t xml:space="preserve">úradu. Najväčší objem týchto finančných prostriedkov je určený na financovanie základných škôl (ide o prostriedky zo ŠR na prenesený výkon štátnej správy v školstve). </w:t>
      </w:r>
    </w:p>
    <w:p w:rsidR="00F37FC8" w:rsidRPr="000750E4" w:rsidRDefault="00F37FC8" w:rsidP="00AB178F">
      <w:pPr>
        <w:pStyle w:val="Default"/>
        <w:jc w:val="both"/>
        <w:rPr>
          <w:iCs/>
          <w:smallCaps/>
          <w:sz w:val="22"/>
          <w:szCs w:val="22"/>
        </w:rPr>
      </w:pPr>
      <w:r w:rsidRPr="000750E4">
        <w:rPr>
          <w:bCs/>
          <w:sz w:val="22"/>
          <w:szCs w:val="22"/>
        </w:rPr>
        <w:t> </w:t>
      </w:r>
    </w:p>
    <w:p w:rsidR="0012013A" w:rsidRPr="000750E4" w:rsidRDefault="000A6833" w:rsidP="00AB178F">
      <w:pPr>
        <w:pStyle w:val="Default"/>
        <w:jc w:val="both"/>
        <w:rPr>
          <w:bCs/>
          <w:sz w:val="22"/>
          <w:szCs w:val="22"/>
        </w:rPr>
      </w:pPr>
      <w:r w:rsidRPr="000750E4">
        <w:rPr>
          <w:iCs/>
          <w:smallCaps/>
          <w:sz w:val="22"/>
          <w:szCs w:val="22"/>
        </w:rPr>
        <w:tab/>
      </w:r>
      <w:r w:rsidRPr="000750E4">
        <w:rPr>
          <w:bCs/>
          <w:sz w:val="22"/>
          <w:szCs w:val="22"/>
        </w:rPr>
        <w:t xml:space="preserve">V návrhu </w:t>
      </w:r>
      <w:r w:rsidR="00A255E9">
        <w:rPr>
          <w:bCs/>
          <w:sz w:val="22"/>
          <w:szCs w:val="22"/>
        </w:rPr>
        <w:t>„</w:t>
      </w:r>
      <w:r w:rsidRPr="000750E4">
        <w:rPr>
          <w:bCs/>
          <w:sz w:val="22"/>
          <w:szCs w:val="22"/>
        </w:rPr>
        <w:t>Záverečného účtu</w:t>
      </w:r>
      <w:r w:rsidR="00A255E9">
        <w:rPr>
          <w:bCs/>
          <w:sz w:val="22"/>
          <w:szCs w:val="22"/>
        </w:rPr>
        <w:t>“</w:t>
      </w:r>
      <w:r w:rsidRPr="000750E4">
        <w:rPr>
          <w:bCs/>
          <w:sz w:val="22"/>
          <w:szCs w:val="22"/>
        </w:rPr>
        <w:t xml:space="preserve"> </w:t>
      </w:r>
      <w:r w:rsidR="00F46A39" w:rsidRPr="000750E4">
        <w:rPr>
          <w:bCs/>
          <w:sz w:val="22"/>
          <w:szCs w:val="22"/>
        </w:rPr>
        <w:t>spracovateľ predkladá</w:t>
      </w:r>
      <w:r w:rsidRPr="000750E4">
        <w:rPr>
          <w:bCs/>
          <w:sz w:val="22"/>
          <w:szCs w:val="22"/>
        </w:rPr>
        <w:t xml:space="preserve"> podrobný prehľad o poskytnutých transferoch a grantoch pre</w:t>
      </w:r>
      <w:r w:rsidR="0012013A" w:rsidRPr="000750E4">
        <w:rPr>
          <w:bCs/>
          <w:sz w:val="22"/>
          <w:szCs w:val="22"/>
        </w:rPr>
        <w:t xml:space="preserve"> mesto, </w:t>
      </w:r>
      <w:r w:rsidR="00F46A39" w:rsidRPr="000750E4">
        <w:rPr>
          <w:bCs/>
          <w:sz w:val="22"/>
          <w:szCs w:val="22"/>
        </w:rPr>
        <w:t>s uvedením poskytovateľ</w:t>
      </w:r>
      <w:r w:rsidR="00D149DC" w:rsidRPr="000750E4">
        <w:rPr>
          <w:bCs/>
          <w:sz w:val="22"/>
          <w:szCs w:val="22"/>
        </w:rPr>
        <w:t>a</w:t>
      </w:r>
      <w:r w:rsidR="00F46A39" w:rsidRPr="000750E4">
        <w:rPr>
          <w:bCs/>
          <w:sz w:val="22"/>
          <w:szCs w:val="22"/>
        </w:rPr>
        <w:t xml:space="preserve">, účelu </w:t>
      </w:r>
      <w:r w:rsidR="0012013A" w:rsidRPr="000750E4">
        <w:rPr>
          <w:bCs/>
          <w:sz w:val="22"/>
          <w:szCs w:val="22"/>
        </w:rPr>
        <w:t>a aj poskytnut</w:t>
      </w:r>
      <w:r w:rsidR="00F46A39" w:rsidRPr="000750E4">
        <w:rPr>
          <w:bCs/>
          <w:sz w:val="22"/>
          <w:szCs w:val="22"/>
        </w:rPr>
        <w:t>ej sumy</w:t>
      </w:r>
      <w:r w:rsidR="0012013A" w:rsidRPr="000750E4">
        <w:rPr>
          <w:bCs/>
          <w:sz w:val="22"/>
          <w:szCs w:val="22"/>
        </w:rPr>
        <w:t>. Najväčší objem z poskytnutých transferov predstavujú normatívne a nenormatívne finančné prostriedky určené najmä na financovanie preneseného výkonu štátnej s</w:t>
      </w:r>
      <w:r w:rsidR="000F4E45" w:rsidRPr="000750E4">
        <w:rPr>
          <w:bCs/>
          <w:sz w:val="22"/>
          <w:szCs w:val="22"/>
        </w:rPr>
        <w:t>právy, avšak významný objem preds</w:t>
      </w:r>
      <w:r w:rsidR="0012013A" w:rsidRPr="000750E4">
        <w:rPr>
          <w:bCs/>
          <w:sz w:val="22"/>
          <w:szCs w:val="22"/>
        </w:rPr>
        <w:t xml:space="preserve">tavujú aj transfery do oblasti sociálnej práce. Mestu boli poskytnuté </w:t>
      </w:r>
      <w:r w:rsidR="008818B0" w:rsidRPr="000750E4">
        <w:rPr>
          <w:bCs/>
          <w:sz w:val="22"/>
          <w:szCs w:val="22"/>
        </w:rPr>
        <w:t xml:space="preserve">granty a </w:t>
      </w:r>
      <w:r w:rsidR="0012013A" w:rsidRPr="000750E4">
        <w:rPr>
          <w:bCs/>
          <w:sz w:val="22"/>
          <w:szCs w:val="22"/>
        </w:rPr>
        <w:t xml:space="preserve">transfery vo výške </w:t>
      </w:r>
      <w:r w:rsidR="009E3D50">
        <w:rPr>
          <w:bCs/>
          <w:sz w:val="22"/>
          <w:szCs w:val="22"/>
        </w:rPr>
        <w:t xml:space="preserve">4.968.346€ (r.2018 4.229.490€, </w:t>
      </w:r>
      <w:r w:rsidR="00B92DDA">
        <w:rPr>
          <w:bCs/>
          <w:sz w:val="22"/>
          <w:szCs w:val="22"/>
        </w:rPr>
        <w:t xml:space="preserve">r.2017 3.273.944 €, </w:t>
      </w:r>
      <w:r w:rsidR="00F46A39" w:rsidRPr="000750E4">
        <w:rPr>
          <w:bCs/>
          <w:sz w:val="22"/>
          <w:szCs w:val="22"/>
        </w:rPr>
        <w:t xml:space="preserve">r.2016 </w:t>
      </w:r>
      <w:r w:rsidR="0012013A" w:rsidRPr="000750E4">
        <w:rPr>
          <w:bCs/>
          <w:sz w:val="22"/>
          <w:szCs w:val="22"/>
        </w:rPr>
        <w:t>2.</w:t>
      </w:r>
      <w:r w:rsidR="000F4E45" w:rsidRPr="000750E4">
        <w:rPr>
          <w:bCs/>
          <w:sz w:val="22"/>
          <w:szCs w:val="22"/>
        </w:rPr>
        <w:t>999.348</w:t>
      </w:r>
      <w:r w:rsidR="0012013A" w:rsidRPr="000750E4">
        <w:rPr>
          <w:bCs/>
          <w:sz w:val="22"/>
          <w:szCs w:val="22"/>
        </w:rPr>
        <w:t>€</w:t>
      </w:r>
      <w:r w:rsidR="00F46A39" w:rsidRPr="000750E4">
        <w:rPr>
          <w:bCs/>
          <w:sz w:val="22"/>
          <w:szCs w:val="22"/>
        </w:rPr>
        <w:t>)</w:t>
      </w:r>
      <w:r w:rsidR="0012013A" w:rsidRPr="000750E4">
        <w:rPr>
          <w:bCs/>
          <w:sz w:val="22"/>
          <w:szCs w:val="22"/>
        </w:rPr>
        <w:t xml:space="preserve">, </w:t>
      </w:r>
      <w:r w:rsidR="0012013A" w:rsidRPr="000750E4">
        <w:rPr>
          <w:b/>
          <w:bCs/>
          <w:sz w:val="22"/>
          <w:szCs w:val="22"/>
        </w:rPr>
        <w:t>výška</w:t>
      </w:r>
      <w:r w:rsidR="0012013A" w:rsidRPr="000750E4">
        <w:rPr>
          <w:bCs/>
          <w:sz w:val="22"/>
          <w:szCs w:val="22"/>
        </w:rPr>
        <w:t xml:space="preserve"> </w:t>
      </w:r>
      <w:r w:rsidR="0012013A" w:rsidRPr="000750E4">
        <w:rPr>
          <w:b/>
          <w:bCs/>
          <w:sz w:val="22"/>
          <w:szCs w:val="22"/>
        </w:rPr>
        <w:t xml:space="preserve">transferov v porovnaní s minulým rokom </w:t>
      </w:r>
      <w:r w:rsidR="00486AA9" w:rsidRPr="000750E4">
        <w:rPr>
          <w:b/>
          <w:bCs/>
          <w:sz w:val="22"/>
          <w:szCs w:val="22"/>
        </w:rPr>
        <w:t>je vyššia</w:t>
      </w:r>
      <w:r w:rsidR="0012013A" w:rsidRPr="000750E4">
        <w:rPr>
          <w:bCs/>
          <w:sz w:val="22"/>
          <w:szCs w:val="22"/>
        </w:rPr>
        <w:t xml:space="preserve"> o</w:t>
      </w:r>
      <w:r w:rsidR="009E3D50">
        <w:rPr>
          <w:bCs/>
          <w:sz w:val="22"/>
          <w:szCs w:val="22"/>
        </w:rPr>
        <w:t xml:space="preserve"> 738.856€ (r.2018 955.546€, </w:t>
      </w:r>
      <w:r w:rsidR="00B92DDA">
        <w:rPr>
          <w:bCs/>
          <w:sz w:val="22"/>
          <w:szCs w:val="22"/>
        </w:rPr>
        <w:t xml:space="preserve">r.2017 274.596€, </w:t>
      </w:r>
      <w:r w:rsidR="00F46A39" w:rsidRPr="000750E4">
        <w:rPr>
          <w:bCs/>
          <w:sz w:val="22"/>
          <w:szCs w:val="22"/>
        </w:rPr>
        <w:t xml:space="preserve">r.2016 o </w:t>
      </w:r>
      <w:r w:rsidR="000F4E45" w:rsidRPr="000750E4">
        <w:rPr>
          <w:bCs/>
          <w:sz w:val="22"/>
          <w:szCs w:val="22"/>
        </w:rPr>
        <w:t>229.397</w:t>
      </w:r>
      <w:r w:rsidR="00F46A39" w:rsidRPr="000750E4">
        <w:rPr>
          <w:bCs/>
          <w:sz w:val="22"/>
          <w:szCs w:val="22"/>
        </w:rPr>
        <w:t xml:space="preserve"> </w:t>
      </w:r>
      <w:r w:rsidR="00486AA9" w:rsidRPr="000750E4">
        <w:rPr>
          <w:bCs/>
          <w:sz w:val="22"/>
          <w:szCs w:val="22"/>
        </w:rPr>
        <w:t>€</w:t>
      </w:r>
      <w:r w:rsidR="00F46A39" w:rsidRPr="000750E4">
        <w:rPr>
          <w:bCs/>
          <w:sz w:val="22"/>
          <w:szCs w:val="22"/>
        </w:rPr>
        <w:t>)</w:t>
      </w:r>
      <w:r w:rsidR="00486AA9" w:rsidRPr="000750E4">
        <w:rPr>
          <w:bCs/>
          <w:sz w:val="22"/>
          <w:szCs w:val="22"/>
        </w:rPr>
        <w:t xml:space="preserve">, v medziročnom období nastal nárast objemu grantov a transferov. </w:t>
      </w:r>
      <w:r w:rsidR="00A75C3A" w:rsidRPr="000750E4">
        <w:rPr>
          <w:bCs/>
          <w:sz w:val="22"/>
          <w:szCs w:val="22"/>
        </w:rPr>
        <w:t>Prehľad vývoja grantov a transferov v dlhšom časovom období je uvedený v tab. č.</w:t>
      </w:r>
      <w:r w:rsidR="00F46A39" w:rsidRPr="000750E4">
        <w:rPr>
          <w:bCs/>
          <w:sz w:val="22"/>
          <w:szCs w:val="22"/>
        </w:rPr>
        <w:t>10</w:t>
      </w:r>
      <w:r w:rsidR="00A75C3A" w:rsidRPr="000750E4">
        <w:rPr>
          <w:bCs/>
          <w:sz w:val="22"/>
          <w:szCs w:val="22"/>
        </w:rPr>
        <w:t xml:space="preserve">. </w:t>
      </w:r>
    </w:p>
    <w:p w:rsidR="00F37FC8" w:rsidRPr="000750E4" w:rsidRDefault="00F37FC8" w:rsidP="00AB178F">
      <w:pPr>
        <w:pStyle w:val="Default"/>
        <w:jc w:val="both"/>
        <w:rPr>
          <w:bCs/>
          <w:sz w:val="22"/>
          <w:szCs w:val="22"/>
        </w:rPr>
      </w:pPr>
    </w:p>
    <w:p w:rsidR="00A75C3A" w:rsidRPr="000750E4" w:rsidRDefault="00A75C3A" w:rsidP="00AB178F">
      <w:pPr>
        <w:pStyle w:val="Default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 xml:space="preserve">Kapitálové príjmy </w:t>
      </w:r>
    </w:p>
    <w:p w:rsidR="00A75C3A" w:rsidRPr="000750E4" w:rsidRDefault="00A75C3A" w:rsidP="00AB178F">
      <w:pPr>
        <w:pStyle w:val="Default"/>
        <w:jc w:val="both"/>
        <w:rPr>
          <w:iCs/>
          <w:sz w:val="22"/>
          <w:szCs w:val="22"/>
        </w:rPr>
      </w:pPr>
    </w:p>
    <w:p w:rsidR="008818B0" w:rsidRPr="000750E4" w:rsidRDefault="00A75C3A" w:rsidP="008818B0">
      <w:pPr>
        <w:pStyle w:val="Default"/>
        <w:jc w:val="both"/>
        <w:rPr>
          <w:bCs/>
          <w:sz w:val="22"/>
          <w:szCs w:val="22"/>
        </w:rPr>
      </w:pPr>
      <w:r w:rsidRPr="000750E4">
        <w:rPr>
          <w:iCs/>
          <w:sz w:val="22"/>
          <w:szCs w:val="22"/>
        </w:rPr>
        <w:tab/>
        <w:t>Schválený rozpočet vlastných kapitálových príjmov (z predaja kapitálových aktív – pozemkov, budov a bytov) vo výške</w:t>
      </w:r>
      <w:r w:rsidR="00B62812">
        <w:rPr>
          <w:iCs/>
          <w:sz w:val="22"/>
          <w:szCs w:val="22"/>
        </w:rPr>
        <w:t xml:space="preserve"> 265.274€ (r.2018 </w:t>
      </w:r>
      <w:r w:rsidR="002459AD">
        <w:rPr>
          <w:iCs/>
          <w:sz w:val="22"/>
          <w:szCs w:val="22"/>
        </w:rPr>
        <w:t>581.100€</w:t>
      </w:r>
      <w:r w:rsidR="00B62812">
        <w:rPr>
          <w:iCs/>
          <w:sz w:val="22"/>
          <w:szCs w:val="22"/>
        </w:rPr>
        <w:t xml:space="preserve">, </w:t>
      </w:r>
      <w:r w:rsidR="002459AD">
        <w:rPr>
          <w:iCs/>
          <w:sz w:val="22"/>
          <w:szCs w:val="22"/>
        </w:rPr>
        <w:t xml:space="preserve">r.2017 269.000€, </w:t>
      </w:r>
      <w:r w:rsidR="00BB6396" w:rsidRPr="000750E4">
        <w:rPr>
          <w:iCs/>
          <w:sz w:val="22"/>
          <w:szCs w:val="22"/>
        </w:rPr>
        <w:t xml:space="preserve">r. 2016 </w:t>
      </w:r>
      <w:r w:rsidRPr="000750E4">
        <w:rPr>
          <w:iCs/>
          <w:sz w:val="22"/>
          <w:szCs w:val="22"/>
        </w:rPr>
        <w:t>310.002€</w:t>
      </w:r>
      <w:r w:rsidR="00BB6396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 sa v priebehu roka upravoval podľa získaných príjmov z predajov majetku mesta, a to na úroveň</w:t>
      </w:r>
      <w:r w:rsidR="00BB6396" w:rsidRPr="000750E4">
        <w:rPr>
          <w:iCs/>
          <w:sz w:val="22"/>
          <w:szCs w:val="22"/>
        </w:rPr>
        <w:t xml:space="preserve"> </w:t>
      </w:r>
      <w:r w:rsidR="00B62812">
        <w:rPr>
          <w:iCs/>
          <w:sz w:val="22"/>
          <w:szCs w:val="22"/>
        </w:rPr>
        <w:t xml:space="preserve">232.830€ (r.2018 691.399€, </w:t>
      </w:r>
      <w:r w:rsidR="002459AD">
        <w:rPr>
          <w:iCs/>
          <w:sz w:val="22"/>
          <w:szCs w:val="22"/>
        </w:rPr>
        <w:t xml:space="preserve">r.2017 249.499€, </w:t>
      </w:r>
      <w:r w:rsidR="00BB6396" w:rsidRPr="000750E4">
        <w:rPr>
          <w:iCs/>
          <w:sz w:val="22"/>
          <w:szCs w:val="22"/>
        </w:rPr>
        <w:t>r.2016</w:t>
      </w:r>
      <w:r w:rsidRPr="000750E4">
        <w:rPr>
          <w:iCs/>
          <w:sz w:val="22"/>
          <w:szCs w:val="22"/>
        </w:rPr>
        <w:t xml:space="preserve"> 194.890€</w:t>
      </w:r>
      <w:r w:rsidR="00BB6396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. </w:t>
      </w:r>
      <w:r w:rsidR="00486AA9" w:rsidRPr="000750E4">
        <w:rPr>
          <w:iCs/>
          <w:sz w:val="22"/>
          <w:szCs w:val="22"/>
        </w:rPr>
        <w:t xml:space="preserve">Mesto dosiahlo </w:t>
      </w:r>
      <w:r w:rsidR="00B62812">
        <w:rPr>
          <w:iCs/>
          <w:sz w:val="22"/>
          <w:szCs w:val="22"/>
        </w:rPr>
        <w:t>pokles</w:t>
      </w:r>
      <w:r w:rsidR="002459AD">
        <w:rPr>
          <w:iCs/>
          <w:sz w:val="22"/>
          <w:szCs w:val="22"/>
        </w:rPr>
        <w:t xml:space="preserve"> </w:t>
      </w:r>
      <w:r w:rsidR="00486AA9" w:rsidRPr="000750E4">
        <w:rPr>
          <w:iCs/>
          <w:sz w:val="22"/>
          <w:szCs w:val="22"/>
        </w:rPr>
        <w:t xml:space="preserve">plánovaných kapitálových príjmov v porovnaní s plánovaným </w:t>
      </w:r>
      <w:r w:rsidR="00616C24" w:rsidRPr="000750E4">
        <w:rPr>
          <w:iCs/>
          <w:sz w:val="22"/>
          <w:szCs w:val="22"/>
        </w:rPr>
        <w:t xml:space="preserve">(východiskovým) </w:t>
      </w:r>
      <w:r w:rsidR="002459AD">
        <w:rPr>
          <w:iCs/>
          <w:sz w:val="22"/>
          <w:szCs w:val="22"/>
        </w:rPr>
        <w:t xml:space="preserve">rozpočtom, </w:t>
      </w:r>
      <w:r w:rsidR="008818B0" w:rsidRPr="000750E4">
        <w:rPr>
          <w:iCs/>
          <w:sz w:val="22"/>
          <w:szCs w:val="22"/>
        </w:rPr>
        <w:t xml:space="preserve">v medziročnom období </w:t>
      </w:r>
      <w:r w:rsidR="002459AD">
        <w:rPr>
          <w:iCs/>
          <w:sz w:val="22"/>
          <w:szCs w:val="22"/>
        </w:rPr>
        <w:t>dosiahlo</w:t>
      </w:r>
      <w:r w:rsidR="008818B0" w:rsidRPr="000750E4">
        <w:rPr>
          <w:iCs/>
          <w:sz w:val="22"/>
          <w:szCs w:val="22"/>
        </w:rPr>
        <w:t xml:space="preserve"> </w:t>
      </w:r>
      <w:r w:rsidR="00B62812">
        <w:rPr>
          <w:iCs/>
          <w:sz w:val="22"/>
          <w:szCs w:val="22"/>
        </w:rPr>
        <w:t xml:space="preserve">pokles </w:t>
      </w:r>
      <w:r w:rsidR="008818B0" w:rsidRPr="000750E4">
        <w:rPr>
          <w:iCs/>
          <w:sz w:val="22"/>
          <w:szCs w:val="22"/>
        </w:rPr>
        <w:t xml:space="preserve">kapitálových príjmov. </w:t>
      </w:r>
      <w:r w:rsidR="003420F3" w:rsidRPr="000750E4">
        <w:rPr>
          <w:iCs/>
          <w:sz w:val="22"/>
          <w:szCs w:val="22"/>
        </w:rPr>
        <w:t xml:space="preserve">Mesto dosiahlo </w:t>
      </w:r>
      <w:r w:rsidR="00B62812">
        <w:rPr>
          <w:iCs/>
          <w:sz w:val="22"/>
          <w:szCs w:val="22"/>
        </w:rPr>
        <w:t>pokles</w:t>
      </w:r>
      <w:r w:rsidR="003420F3" w:rsidRPr="000750E4">
        <w:rPr>
          <w:iCs/>
          <w:sz w:val="22"/>
          <w:szCs w:val="22"/>
        </w:rPr>
        <w:t xml:space="preserve"> vlastných a</w:t>
      </w:r>
      <w:r w:rsidR="00B62812">
        <w:rPr>
          <w:iCs/>
          <w:sz w:val="22"/>
          <w:szCs w:val="22"/>
        </w:rPr>
        <w:t xml:space="preserve"> nárast cudzích </w:t>
      </w:r>
      <w:r w:rsidR="002459AD">
        <w:rPr>
          <w:iCs/>
          <w:sz w:val="22"/>
          <w:szCs w:val="22"/>
        </w:rPr>
        <w:t>kapitálových príjmov</w:t>
      </w:r>
      <w:r w:rsidR="003420F3" w:rsidRPr="000750E4">
        <w:rPr>
          <w:iCs/>
          <w:sz w:val="22"/>
          <w:szCs w:val="22"/>
        </w:rPr>
        <w:t xml:space="preserve">. </w:t>
      </w:r>
      <w:r w:rsidR="008818B0" w:rsidRPr="000750E4">
        <w:rPr>
          <w:bCs/>
          <w:sz w:val="22"/>
          <w:szCs w:val="22"/>
        </w:rPr>
        <w:t>Prehľad vývoja kapitálových príjmov v dlhšom časovom období je uvedený v tab. č.4</w:t>
      </w:r>
      <w:r w:rsidR="002459AD">
        <w:rPr>
          <w:bCs/>
          <w:sz w:val="22"/>
          <w:szCs w:val="22"/>
        </w:rPr>
        <w:t xml:space="preserve"> a</w:t>
      </w:r>
      <w:r w:rsidR="008005C0">
        <w:rPr>
          <w:bCs/>
          <w:sz w:val="22"/>
          <w:szCs w:val="22"/>
        </w:rPr>
        <w:t> </w:t>
      </w:r>
      <w:r w:rsidR="002459AD">
        <w:rPr>
          <w:bCs/>
          <w:sz w:val="22"/>
          <w:szCs w:val="22"/>
        </w:rPr>
        <w:t>35</w:t>
      </w:r>
      <w:r w:rsidR="008005C0">
        <w:rPr>
          <w:bCs/>
          <w:sz w:val="22"/>
          <w:szCs w:val="22"/>
        </w:rPr>
        <w:t xml:space="preserve"> Záverečného účtu</w:t>
      </w:r>
      <w:r w:rsidR="008818B0" w:rsidRPr="000750E4">
        <w:rPr>
          <w:bCs/>
          <w:sz w:val="22"/>
          <w:szCs w:val="22"/>
        </w:rPr>
        <w:t xml:space="preserve">. </w:t>
      </w:r>
    </w:p>
    <w:p w:rsidR="00486AA9" w:rsidRPr="000750E4" w:rsidRDefault="00486AA9" w:rsidP="00AB178F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Čerpanie rozpočtu výdavkov </w:t>
      </w:r>
    </w:p>
    <w:p w:rsidR="00C062D0" w:rsidRDefault="00C062D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C062D0" w:rsidRPr="000750E4" w:rsidRDefault="00C062D0" w:rsidP="0050438F">
      <w:pPr>
        <w:pStyle w:val="Default"/>
        <w:jc w:val="both"/>
        <w:rPr>
          <w:iCs/>
          <w:sz w:val="22"/>
          <w:szCs w:val="22"/>
        </w:rPr>
      </w:pPr>
      <w:r w:rsidRPr="006A7C41">
        <w:rPr>
          <w:b/>
          <w:iCs/>
          <w:smallCaps/>
          <w:sz w:val="23"/>
          <w:szCs w:val="23"/>
        </w:rPr>
        <w:tab/>
      </w:r>
      <w:r w:rsidR="00A93DFF" w:rsidRPr="000750E4">
        <w:rPr>
          <w:iCs/>
          <w:sz w:val="22"/>
          <w:szCs w:val="22"/>
        </w:rPr>
        <w:t xml:space="preserve">Rozpočet výdavkov je členený na rozpočet bežných výdavkov a rozpočet kapitálových výdavkov, v priebehu rozpočtovaného obdobia došlo k zmenám, čoho výsledkom je nasledovný rozpočet výdavkov : </w:t>
      </w:r>
    </w:p>
    <w:p w:rsidR="00C062D0" w:rsidRPr="001B02F7" w:rsidRDefault="001B02F7" w:rsidP="0050438F">
      <w:pPr>
        <w:pStyle w:val="Default"/>
        <w:jc w:val="both"/>
        <w:rPr>
          <w:iCs/>
          <w:sz w:val="18"/>
          <w:szCs w:val="18"/>
        </w:rPr>
      </w:pPr>
      <w:r w:rsidRPr="000750E4">
        <w:rPr>
          <w:b/>
          <w:iCs/>
          <w:smallCaps/>
          <w:sz w:val="22"/>
          <w:szCs w:val="22"/>
        </w:rPr>
        <w:tab/>
      </w:r>
      <w:r w:rsidRPr="000750E4">
        <w:rPr>
          <w:b/>
          <w:iCs/>
          <w:smallCaps/>
          <w:sz w:val="22"/>
          <w:szCs w:val="22"/>
        </w:rPr>
        <w:tab/>
      </w:r>
      <w:r w:rsidRPr="006A7C41">
        <w:rPr>
          <w:b/>
          <w:iCs/>
          <w:smallCaps/>
          <w:sz w:val="23"/>
          <w:szCs w:val="23"/>
        </w:rPr>
        <w:tab/>
      </w:r>
      <w:r>
        <w:rPr>
          <w:b/>
          <w:iCs/>
          <w:smallCaps/>
          <w:sz w:val="26"/>
          <w:szCs w:val="26"/>
        </w:rPr>
        <w:tab/>
      </w:r>
      <w:r w:rsidR="00A255E9" w:rsidRPr="00A255E9">
        <w:rPr>
          <w:iCs/>
          <w:sz w:val="22"/>
          <w:szCs w:val="22"/>
        </w:rPr>
        <w:t>Čerpanie rozpočtu výdavkov</w:t>
      </w:r>
      <w:r>
        <w:rPr>
          <w:b/>
          <w:iCs/>
          <w:smallCaps/>
          <w:sz w:val="26"/>
          <w:szCs w:val="26"/>
        </w:rPr>
        <w:tab/>
      </w:r>
      <w:r w:rsidRPr="001B02F7">
        <w:rPr>
          <w:iCs/>
          <w:sz w:val="18"/>
          <w:szCs w:val="18"/>
        </w:rPr>
        <w:t xml:space="preserve">tab. č. </w:t>
      </w:r>
      <w:r w:rsidR="001736D6">
        <w:rPr>
          <w:iCs/>
          <w:sz w:val="18"/>
          <w:szCs w:val="18"/>
        </w:rPr>
        <w:t>4</w:t>
      </w:r>
    </w:p>
    <w:tbl>
      <w:tblPr>
        <w:tblStyle w:val="Obyajntabuka1"/>
        <w:tblW w:w="5400" w:type="dxa"/>
        <w:tblInd w:w="2327" w:type="dxa"/>
        <w:tblLook w:val="04A0" w:firstRow="1" w:lastRow="0" w:firstColumn="1" w:lastColumn="0" w:noHBand="0" w:noVBand="1"/>
      </w:tblPr>
      <w:tblGrid>
        <w:gridCol w:w="1077"/>
        <w:gridCol w:w="987"/>
        <w:gridCol w:w="1157"/>
        <w:gridCol w:w="1022"/>
        <w:gridCol w:w="1157"/>
      </w:tblGrid>
      <w:tr w:rsidR="00A93DFF" w:rsidRPr="00A93DFF" w:rsidTr="001D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hideMark/>
          </w:tcPr>
          <w:p w:rsidR="00A93DFF" w:rsidRPr="001D6438" w:rsidRDefault="00A93DFF" w:rsidP="00A93DFF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Výdavky</w:t>
            </w:r>
          </w:p>
        </w:tc>
        <w:tc>
          <w:tcPr>
            <w:tcW w:w="987" w:type="dxa"/>
            <w:hideMark/>
          </w:tcPr>
          <w:p w:rsidR="00A93DFF" w:rsidRPr="001D6438" w:rsidRDefault="00A93DFF" w:rsidP="00A93D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1157" w:type="dxa"/>
          </w:tcPr>
          <w:p w:rsidR="00A93DFF" w:rsidRPr="001D6438" w:rsidRDefault="00D322E1" w:rsidP="00616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k 31.12.201</w:t>
            </w:r>
            <w:r w:rsidR="001D6438"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022" w:type="dxa"/>
          </w:tcPr>
          <w:p w:rsidR="00A93DFF" w:rsidRPr="001D6438" w:rsidRDefault="00D322E1" w:rsidP="00936E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% plnenia (S/R*100)</w:t>
            </w:r>
          </w:p>
        </w:tc>
        <w:tc>
          <w:tcPr>
            <w:tcW w:w="1157" w:type="dxa"/>
          </w:tcPr>
          <w:p w:rsidR="00A93DFF" w:rsidRPr="001D6438" w:rsidRDefault="00C73F2B" w:rsidP="00616C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k 31.12.201</w:t>
            </w:r>
            <w:r w:rsidR="001D6438"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8</w:t>
            </w:r>
          </w:p>
        </w:tc>
      </w:tr>
      <w:tr w:rsidR="001D6438" w:rsidRPr="00A93DFF" w:rsidTr="00446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hideMark/>
          </w:tcPr>
          <w:p w:rsidR="001D6438" w:rsidRPr="001D6438" w:rsidRDefault="001D6438" w:rsidP="001D6438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987" w:type="dxa"/>
            <w:vAlign w:val="center"/>
            <w:hideMark/>
          </w:tcPr>
          <w:p w:rsidR="001D6438" w:rsidRPr="001D6438" w:rsidRDefault="001D6438" w:rsidP="001D6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11 110 988</w:t>
            </w:r>
          </w:p>
        </w:tc>
        <w:tc>
          <w:tcPr>
            <w:tcW w:w="1157" w:type="dxa"/>
            <w:vAlign w:val="center"/>
          </w:tcPr>
          <w:p w:rsidR="001D6438" w:rsidRPr="001D6438" w:rsidRDefault="001D6438" w:rsidP="001D6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12 164 938</w:t>
            </w:r>
          </w:p>
        </w:tc>
        <w:tc>
          <w:tcPr>
            <w:tcW w:w="1022" w:type="dxa"/>
            <w:vAlign w:val="center"/>
          </w:tcPr>
          <w:p w:rsidR="001D6438" w:rsidRPr="001D6438" w:rsidRDefault="001D6438" w:rsidP="001D6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109,49</w:t>
            </w:r>
          </w:p>
        </w:tc>
        <w:tc>
          <w:tcPr>
            <w:tcW w:w="1157" w:type="dxa"/>
            <w:vAlign w:val="center"/>
          </w:tcPr>
          <w:p w:rsidR="001D6438" w:rsidRPr="001D6438" w:rsidRDefault="001D6438" w:rsidP="001D6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11 357 654</w:t>
            </w:r>
          </w:p>
        </w:tc>
      </w:tr>
      <w:tr w:rsidR="001D6438" w:rsidRPr="00A93DFF" w:rsidTr="00446014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hideMark/>
          </w:tcPr>
          <w:p w:rsidR="001D6438" w:rsidRPr="001D6438" w:rsidRDefault="001D6438" w:rsidP="001D6438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1D643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Kapitálové výdavky </w:t>
            </w:r>
          </w:p>
        </w:tc>
        <w:tc>
          <w:tcPr>
            <w:tcW w:w="987" w:type="dxa"/>
            <w:vAlign w:val="center"/>
            <w:hideMark/>
          </w:tcPr>
          <w:p w:rsidR="001D6438" w:rsidRPr="001D6438" w:rsidRDefault="001D6438" w:rsidP="001D6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1 098 561</w:t>
            </w:r>
          </w:p>
        </w:tc>
        <w:tc>
          <w:tcPr>
            <w:tcW w:w="1157" w:type="dxa"/>
            <w:vAlign w:val="center"/>
          </w:tcPr>
          <w:p w:rsidR="001D6438" w:rsidRPr="001D6438" w:rsidRDefault="001D6438" w:rsidP="001D6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2 138 489</w:t>
            </w:r>
          </w:p>
        </w:tc>
        <w:tc>
          <w:tcPr>
            <w:tcW w:w="1022" w:type="dxa"/>
            <w:vAlign w:val="center"/>
          </w:tcPr>
          <w:p w:rsidR="001D6438" w:rsidRPr="001D6438" w:rsidRDefault="001D6438" w:rsidP="001D6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194,66</w:t>
            </w:r>
          </w:p>
        </w:tc>
        <w:tc>
          <w:tcPr>
            <w:tcW w:w="1157" w:type="dxa"/>
            <w:vAlign w:val="center"/>
          </w:tcPr>
          <w:p w:rsidR="001D6438" w:rsidRPr="001D6438" w:rsidRDefault="001D6438" w:rsidP="001D64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D643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2 288 322</w:t>
            </w:r>
          </w:p>
        </w:tc>
      </w:tr>
    </w:tbl>
    <w:p w:rsidR="00A27FBC" w:rsidRDefault="00A27FBC" w:rsidP="00A27FBC">
      <w:pPr>
        <w:pStyle w:val="Default"/>
        <w:ind w:firstLine="708"/>
        <w:jc w:val="both"/>
        <w:rPr>
          <w:iCs/>
        </w:rPr>
      </w:pPr>
    </w:p>
    <w:p w:rsidR="00C062D0" w:rsidRPr="000750E4" w:rsidRDefault="00A27FBC" w:rsidP="00A27FBC">
      <w:pPr>
        <w:pStyle w:val="Default"/>
        <w:ind w:firstLine="708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Mesto zaznamenalo plnenie bežných výdavkov na úrovni </w:t>
      </w:r>
      <w:r w:rsidR="00FF005B">
        <w:rPr>
          <w:iCs/>
          <w:sz w:val="22"/>
          <w:szCs w:val="22"/>
        </w:rPr>
        <w:t xml:space="preserve">109,49% (r.2018 103,8%, </w:t>
      </w:r>
      <w:r w:rsidR="00A25649">
        <w:rPr>
          <w:iCs/>
          <w:sz w:val="22"/>
          <w:szCs w:val="22"/>
        </w:rPr>
        <w:t xml:space="preserve">r.2017 </w:t>
      </w:r>
      <w:r w:rsidR="00774872" w:rsidRPr="000750E4">
        <w:rPr>
          <w:iCs/>
          <w:sz w:val="22"/>
          <w:szCs w:val="22"/>
        </w:rPr>
        <w:t>10</w:t>
      </w:r>
      <w:r w:rsidR="00616C24" w:rsidRPr="000750E4">
        <w:rPr>
          <w:iCs/>
          <w:sz w:val="22"/>
          <w:szCs w:val="22"/>
        </w:rPr>
        <w:t>8</w:t>
      </w:r>
      <w:r w:rsidR="00C73F2B" w:rsidRPr="000750E4">
        <w:rPr>
          <w:iCs/>
          <w:sz w:val="22"/>
          <w:szCs w:val="22"/>
        </w:rPr>
        <w:t>,</w:t>
      </w:r>
      <w:r w:rsidR="00616C24" w:rsidRPr="000750E4">
        <w:rPr>
          <w:iCs/>
          <w:sz w:val="22"/>
          <w:szCs w:val="22"/>
        </w:rPr>
        <w:t>06</w:t>
      </w:r>
      <w:r w:rsidR="00A25649">
        <w:rPr>
          <w:iCs/>
          <w:sz w:val="22"/>
          <w:szCs w:val="22"/>
        </w:rPr>
        <w:t>%)</w:t>
      </w:r>
      <w:r w:rsidR="00C73F2B" w:rsidRPr="000750E4">
        <w:rPr>
          <w:iCs/>
          <w:sz w:val="22"/>
          <w:szCs w:val="22"/>
        </w:rPr>
        <w:t xml:space="preserve"> </w:t>
      </w:r>
      <w:r w:rsidR="000C2AE8" w:rsidRPr="000750E4">
        <w:rPr>
          <w:iCs/>
          <w:sz w:val="22"/>
          <w:szCs w:val="22"/>
        </w:rPr>
        <w:t xml:space="preserve">z plánovaného rozpočtu </w:t>
      </w:r>
      <w:r w:rsidR="00C73F2B" w:rsidRPr="000750E4">
        <w:rPr>
          <w:iCs/>
          <w:sz w:val="22"/>
          <w:szCs w:val="22"/>
        </w:rPr>
        <w:t>a</w:t>
      </w:r>
      <w:r w:rsidR="000C2AE8" w:rsidRPr="000750E4">
        <w:rPr>
          <w:iCs/>
          <w:sz w:val="22"/>
          <w:szCs w:val="22"/>
        </w:rPr>
        <w:t xml:space="preserve"> zároveň </w:t>
      </w:r>
      <w:r w:rsidR="00C73F2B" w:rsidRPr="000750E4">
        <w:rPr>
          <w:iCs/>
          <w:sz w:val="22"/>
          <w:szCs w:val="22"/>
        </w:rPr>
        <w:t>nárast zvýšenia výdavkov o</w:t>
      </w:r>
      <w:r w:rsidR="00C36DB2">
        <w:rPr>
          <w:iCs/>
          <w:sz w:val="22"/>
          <w:szCs w:val="22"/>
        </w:rPr>
        <w:t xml:space="preserve"> 807.284€, (r.2018 1.200.460€, </w:t>
      </w:r>
      <w:r w:rsidR="00A25649">
        <w:rPr>
          <w:iCs/>
          <w:sz w:val="22"/>
          <w:szCs w:val="22"/>
        </w:rPr>
        <w:t xml:space="preserve">r.2017 961.345€, </w:t>
      </w:r>
      <w:r w:rsidR="00616C24" w:rsidRPr="000750E4">
        <w:rPr>
          <w:iCs/>
          <w:sz w:val="22"/>
          <w:szCs w:val="22"/>
        </w:rPr>
        <w:t xml:space="preserve">r. 2016 o </w:t>
      </w:r>
      <w:r w:rsidR="000C2AE8" w:rsidRPr="000750E4">
        <w:rPr>
          <w:iCs/>
          <w:sz w:val="22"/>
          <w:szCs w:val="22"/>
        </w:rPr>
        <w:t>645.246,0€</w:t>
      </w:r>
      <w:r w:rsidR="00616C24" w:rsidRPr="000750E4">
        <w:rPr>
          <w:iCs/>
          <w:sz w:val="22"/>
          <w:szCs w:val="22"/>
        </w:rPr>
        <w:t>)</w:t>
      </w:r>
      <w:r w:rsidR="000C2AE8" w:rsidRPr="000750E4">
        <w:rPr>
          <w:iCs/>
          <w:sz w:val="22"/>
          <w:szCs w:val="22"/>
        </w:rPr>
        <w:t xml:space="preserve"> v medziročnom období, </w:t>
      </w:r>
      <w:r w:rsidRPr="000750E4">
        <w:rPr>
          <w:iCs/>
          <w:sz w:val="22"/>
          <w:szCs w:val="22"/>
        </w:rPr>
        <w:t xml:space="preserve">plnenie kapitálových výdavkov na úrovni </w:t>
      </w:r>
      <w:r w:rsidR="00C36DB2">
        <w:rPr>
          <w:iCs/>
          <w:sz w:val="22"/>
          <w:szCs w:val="22"/>
        </w:rPr>
        <w:t xml:space="preserve">194,66% (r.2018 157,30%, </w:t>
      </w:r>
      <w:r w:rsidR="009F2D32">
        <w:rPr>
          <w:iCs/>
          <w:sz w:val="22"/>
          <w:szCs w:val="22"/>
        </w:rPr>
        <w:t xml:space="preserve">r.2017 77,63%, </w:t>
      </w:r>
      <w:r w:rsidR="00616C24" w:rsidRPr="000750E4">
        <w:rPr>
          <w:iCs/>
          <w:sz w:val="22"/>
          <w:szCs w:val="22"/>
        </w:rPr>
        <w:t xml:space="preserve">r.2016 </w:t>
      </w:r>
      <w:r w:rsidR="00C73F2B" w:rsidRPr="000750E4">
        <w:rPr>
          <w:iCs/>
          <w:sz w:val="22"/>
          <w:szCs w:val="22"/>
        </w:rPr>
        <w:t>257,74</w:t>
      </w:r>
      <w:r w:rsidR="00774872" w:rsidRPr="000750E4">
        <w:rPr>
          <w:iCs/>
          <w:sz w:val="22"/>
          <w:szCs w:val="22"/>
        </w:rPr>
        <w:t>%</w:t>
      </w:r>
      <w:r w:rsidR="00616C24" w:rsidRPr="000750E4">
        <w:rPr>
          <w:iCs/>
          <w:sz w:val="22"/>
          <w:szCs w:val="22"/>
        </w:rPr>
        <w:t>)</w:t>
      </w:r>
      <w:r w:rsidR="00774872" w:rsidRPr="000750E4">
        <w:rPr>
          <w:iCs/>
          <w:sz w:val="22"/>
          <w:szCs w:val="22"/>
        </w:rPr>
        <w:t xml:space="preserve"> </w:t>
      </w:r>
      <w:r w:rsidR="00C76F89">
        <w:rPr>
          <w:iCs/>
          <w:sz w:val="22"/>
          <w:szCs w:val="22"/>
        </w:rPr>
        <w:t>a z</w:t>
      </w:r>
      <w:r w:rsidR="00531B76">
        <w:rPr>
          <w:iCs/>
          <w:sz w:val="22"/>
          <w:szCs w:val="22"/>
        </w:rPr>
        <w:t>ároveň nárast zvýšenia o</w:t>
      </w:r>
      <w:r w:rsidR="00302015">
        <w:rPr>
          <w:iCs/>
          <w:sz w:val="22"/>
          <w:szCs w:val="22"/>
        </w:rPr>
        <w:t xml:space="preserve"> 149.833€ (r.2018 </w:t>
      </w:r>
      <w:r w:rsidR="00531B76">
        <w:rPr>
          <w:iCs/>
          <w:sz w:val="22"/>
          <w:szCs w:val="22"/>
        </w:rPr>
        <w:t xml:space="preserve">837.305€ </w:t>
      </w:r>
      <w:r w:rsidR="009F2D32" w:rsidRPr="00531B76">
        <w:rPr>
          <w:iCs/>
          <w:sz w:val="22"/>
          <w:szCs w:val="22"/>
        </w:rPr>
        <w:t>zvýšenie o</w:t>
      </w:r>
      <w:r w:rsidR="00077E5A" w:rsidRPr="00531B76">
        <w:rPr>
          <w:iCs/>
          <w:sz w:val="22"/>
          <w:szCs w:val="22"/>
        </w:rPr>
        <w:t> </w:t>
      </w:r>
      <w:r w:rsidR="00531B76" w:rsidRPr="00531B76">
        <w:rPr>
          <w:iCs/>
          <w:sz w:val="22"/>
          <w:szCs w:val="22"/>
        </w:rPr>
        <w:t>1</w:t>
      </w:r>
      <w:r w:rsidR="009F2D32">
        <w:rPr>
          <w:iCs/>
          <w:sz w:val="22"/>
          <w:szCs w:val="22"/>
        </w:rPr>
        <w:t>.4</w:t>
      </w:r>
      <w:r w:rsidR="00077E5A">
        <w:rPr>
          <w:iCs/>
          <w:sz w:val="22"/>
          <w:szCs w:val="22"/>
        </w:rPr>
        <w:t>00.666</w:t>
      </w:r>
      <w:r w:rsidR="009F2D32">
        <w:rPr>
          <w:iCs/>
          <w:sz w:val="22"/>
          <w:szCs w:val="22"/>
        </w:rPr>
        <w:t>€, r.201</w:t>
      </w:r>
      <w:r w:rsidR="00077E5A">
        <w:rPr>
          <w:iCs/>
          <w:sz w:val="22"/>
          <w:szCs w:val="22"/>
        </w:rPr>
        <w:t>7</w:t>
      </w:r>
      <w:r w:rsidR="009F2D32">
        <w:rPr>
          <w:iCs/>
          <w:sz w:val="22"/>
          <w:szCs w:val="22"/>
        </w:rPr>
        <w:t>/</w:t>
      </w:r>
      <w:r w:rsidR="00616C24" w:rsidRPr="000750E4">
        <w:rPr>
          <w:iCs/>
          <w:sz w:val="22"/>
          <w:szCs w:val="22"/>
        </w:rPr>
        <w:t>201</w:t>
      </w:r>
      <w:r w:rsidR="00077E5A">
        <w:rPr>
          <w:iCs/>
          <w:sz w:val="22"/>
          <w:szCs w:val="22"/>
        </w:rPr>
        <w:t>6</w:t>
      </w:r>
      <w:r w:rsidR="00616C24" w:rsidRPr="000750E4">
        <w:rPr>
          <w:iCs/>
          <w:sz w:val="22"/>
          <w:szCs w:val="22"/>
        </w:rPr>
        <w:t xml:space="preserve"> </w:t>
      </w:r>
      <w:r w:rsidR="00531B76">
        <w:rPr>
          <w:iCs/>
          <w:sz w:val="22"/>
          <w:szCs w:val="22"/>
        </w:rPr>
        <w:t>zníženie</w:t>
      </w:r>
      <w:r w:rsidR="00C73F2B" w:rsidRPr="000750E4">
        <w:rPr>
          <w:iCs/>
          <w:sz w:val="22"/>
          <w:szCs w:val="22"/>
        </w:rPr>
        <w:t xml:space="preserve"> o</w:t>
      </w:r>
      <w:r w:rsidR="00077E5A">
        <w:rPr>
          <w:iCs/>
          <w:sz w:val="22"/>
          <w:szCs w:val="22"/>
        </w:rPr>
        <w:t> 1.479.960</w:t>
      </w:r>
      <w:r w:rsidR="00C73F2B" w:rsidRPr="000750E4">
        <w:rPr>
          <w:iCs/>
          <w:sz w:val="22"/>
          <w:szCs w:val="22"/>
        </w:rPr>
        <w:t>€</w:t>
      </w:r>
      <w:r w:rsidR="00531B76">
        <w:rPr>
          <w:iCs/>
          <w:sz w:val="22"/>
          <w:szCs w:val="22"/>
        </w:rPr>
        <w:t>, r.2016/2015 zvýšenie o 729.307€)</w:t>
      </w:r>
      <w:r w:rsidRPr="000750E4">
        <w:rPr>
          <w:iCs/>
          <w:sz w:val="22"/>
          <w:szCs w:val="22"/>
        </w:rPr>
        <w:t xml:space="preserve"> </w:t>
      </w:r>
    </w:p>
    <w:p w:rsidR="00C73F2B" w:rsidRPr="000750E4" w:rsidRDefault="00C73F2B" w:rsidP="00A27FBC">
      <w:pPr>
        <w:pStyle w:val="Default"/>
        <w:jc w:val="both"/>
        <w:rPr>
          <w:iCs/>
          <w:sz w:val="22"/>
          <w:szCs w:val="22"/>
        </w:rPr>
      </w:pPr>
    </w:p>
    <w:p w:rsidR="006A7C41" w:rsidRPr="008005C0" w:rsidRDefault="00A27FBC" w:rsidP="001E3069">
      <w:pPr>
        <w:pStyle w:val="Default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  <w:t>Vývoj čerpania výdavkov v rokoch 201</w:t>
      </w:r>
      <w:r w:rsidR="00BF70FD">
        <w:rPr>
          <w:iCs/>
          <w:sz w:val="22"/>
          <w:szCs w:val="22"/>
        </w:rPr>
        <w:t>4</w:t>
      </w:r>
      <w:r w:rsidRPr="000750E4">
        <w:rPr>
          <w:iCs/>
          <w:sz w:val="22"/>
          <w:szCs w:val="22"/>
        </w:rPr>
        <w:t xml:space="preserve"> – 201</w:t>
      </w:r>
      <w:r w:rsidR="00BF70FD">
        <w:rPr>
          <w:iCs/>
          <w:sz w:val="22"/>
          <w:szCs w:val="22"/>
        </w:rPr>
        <w:t>9</w:t>
      </w:r>
      <w:r w:rsidRPr="000750E4">
        <w:rPr>
          <w:iCs/>
          <w:sz w:val="22"/>
          <w:szCs w:val="22"/>
        </w:rPr>
        <w:t xml:space="preserve"> v člene</w:t>
      </w:r>
      <w:r w:rsidR="008005C0">
        <w:rPr>
          <w:iCs/>
          <w:sz w:val="22"/>
          <w:szCs w:val="22"/>
        </w:rPr>
        <w:t xml:space="preserve">ní na bežné a kapitálové </w:t>
      </w:r>
      <w:proofErr w:type="spellStart"/>
      <w:r w:rsidR="008005C0">
        <w:rPr>
          <w:iCs/>
          <w:sz w:val="22"/>
          <w:szCs w:val="22"/>
        </w:rPr>
        <w:t>výdavk:</w:t>
      </w:r>
      <w:r w:rsidR="00271390" w:rsidRPr="00271390">
        <w:rPr>
          <w:iCs/>
          <w:sz w:val="18"/>
          <w:szCs w:val="18"/>
        </w:rPr>
        <w:t>t</w:t>
      </w:r>
      <w:r w:rsidR="001E3069" w:rsidRPr="00271390">
        <w:rPr>
          <w:iCs/>
          <w:sz w:val="18"/>
          <w:szCs w:val="18"/>
        </w:rPr>
        <w:t>ab</w:t>
      </w:r>
      <w:proofErr w:type="spellEnd"/>
      <w:r w:rsidR="001E3069" w:rsidRPr="00271390">
        <w:rPr>
          <w:iCs/>
          <w:sz w:val="18"/>
          <w:szCs w:val="18"/>
        </w:rPr>
        <w:t xml:space="preserve">. č. </w:t>
      </w:r>
      <w:r w:rsidR="001736D6">
        <w:rPr>
          <w:iCs/>
          <w:sz w:val="18"/>
          <w:szCs w:val="18"/>
        </w:rPr>
        <w:t>5</w:t>
      </w:r>
    </w:p>
    <w:tbl>
      <w:tblPr>
        <w:tblStyle w:val="Obyajntabuka1"/>
        <w:tblW w:w="9700" w:type="dxa"/>
        <w:tblLook w:val="04A0" w:firstRow="1" w:lastRow="0" w:firstColumn="1" w:lastColumn="0" w:noHBand="0" w:noVBand="1"/>
      </w:tblPr>
      <w:tblGrid>
        <w:gridCol w:w="1041"/>
        <w:gridCol w:w="517"/>
        <w:gridCol w:w="603"/>
        <w:gridCol w:w="457"/>
        <w:gridCol w:w="503"/>
        <w:gridCol w:w="499"/>
        <w:gridCol w:w="621"/>
        <w:gridCol w:w="439"/>
        <w:gridCol w:w="681"/>
        <w:gridCol w:w="339"/>
        <w:gridCol w:w="781"/>
        <w:gridCol w:w="179"/>
        <w:gridCol w:w="1060"/>
        <w:gridCol w:w="960"/>
        <w:gridCol w:w="1020"/>
      </w:tblGrid>
      <w:tr w:rsidR="0084600F" w:rsidRPr="0084600F" w:rsidTr="00800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gridSpan w:val="2"/>
            <w:hideMark/>
          </w:tcPr>
          <w:p w:rsidR="0084600F" w:rsidRPr="00A255E9" w:rsidRDefault="0084600F" w:rsidP="0084600F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Výdavky</w:t>
            </w:r>
          </w:p>
        </w:tc>
        <w:tc>
          <w:tcPr>
            <w:tcW w:w="1060" w:type="dxa"/>
            <w:gridSpan w:val="2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 2013</w:t>
            </w:r>
          </w:p>
        </w:tc>
        <w:tc>
          <w:tcPr>
            <w:tcW w:w="1002" w:type="dxa"/>
            <w:gridSpan w:val="2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2013</w:t>
            </w:r>
          </w:p>
        </w:tc>
        <w:tc>
          <w:tcPr>
            <w:tcW w:w="1060" w:type="dxa"/>
            <w:gridSpan w:val="2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 2014</w:t>
            </w:r>
          </w:p>
        </w:tc>
        <w:tc>
          <w:tcPr>
            <w:tcW w:w="1020" w:type="dxa"/>
            <w:gridSpan w:val="2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2014</w:t>
            </w:r>
          </w:p>
        </w:tc>
        <w:tc>
          <w:tcPr>
            <w:tcW w:w="960" w:type="dxa"/>
            <w:gridSpan w:val="2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 2015</w:t>
            </w:r>
          </w:p>
        </w:tc>
        <w:tc>
          <w:tcPr>
            <w:tcW w:w="1060" w:type="dxa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2015</w:t>
            </w:r>
          </w:p>
        </w:tc>
        <w:tc>
          <w:tcPr>
            <w:tcW w:w="960" w:type="dxa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 2016</w:t>
            </w:r>
          </w:p>
        </w:tc>
        <w:tc>
          <w:tcPr>
            <w:tcW w:w="1020" w:type="dxa"/>
            <w:hideMark/>
          </w:tcPr>
          <w:p w:rsidR="0084600F" w:rsidRPr="00A255E9" w:rsidRDefault="00077E5A" w:rsidP="008460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Skutočnosť 2016</w:t>
            </w:r>
          </w:p>
        </w:tc>
      </w:tr>
      <w:tr w:rsidR="003863D0" w:rsidRPr="003863D0" w:rsidTr="00800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gridSpan w:val="2"/>
            <w:hideMark/>
          </w:tcPr>
          <w:p w:rsidR="003863D0" w:rsidRPr="00A255E9" w:rsidRDefault="003863D0" w:rsidP="003863D0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060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7 514 660</w:t>
            </w:r>
          </w:p>
        </w:tc>
        <w:tc>
          <w:tcPr>
            <w:tcW w:w="1002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7 758 450</w:t>
            </w:r>
          </w:p>
        </w:tc>
        <w:tc>
          <w:tcPr>
            <w:tcW w:w="1060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7 660 697</w:t>
            </w:r>
          </w:p>
        </w:tc>
        <w:tc>
          <w:tcPr>
            <w:tcW w:w="1020" w:type="dxa"/>
            <w:gridSpan w:val="2"/>
            <w:noWrap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8 057 471</w:t>
            </w:r>
          </w:p>
        </w:tc>
        <w:tc>
          <w:tcPr>
            <w:tcW w:w="960" w:type="dxa"/>
            <w:gridSpan w:val="2"/>
            <w:noWrap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7 866 243</w:t>
            </w:r>
          </w:p>
        </w:tc>
        <w:tc>
          <w:tcPr>
            <w:tcW w:w="106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8 134 974</w:t>
            </w:r>
          </w:p>
        </w:tc>
        <w:tc>
          <w:tcPr>
            <w:tcW w:w="96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8 268 700</w:t>
            </w:r>
          </w:p>
        </w:tc>
        <w:tc>
          <w:tcPr>
            <w:tcW w:w="102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8 780 220</w:t>
            </w:r>
          </w:p>
        </w:tc>
      </w:tr>
      <w:tr w:rsidR="003863D0" w:rsidRPr="003863D0" w:rsidTr="008005C0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gridSpan w:val="2"/>
            <w:hideMark/>
          </w:tcPr>
          <w:p w:rsidR="003863D0" w:rsidRPr="00A255E9" w:rsidRDefault="003863D0" w:rsidP="003863D0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Kapitálové výdavky </w:t>
            </w:r>
          </w:p>
        </w:tc>
        <w:tc>
          <w:tcPr>
            <w:tcW w:w="1060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997 947</w:t>
            </w:r>
          </w:p>
        </w:tc>
        <w:tc>
          <w:tcPr>
            <w:tcW w:w="1002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784 838</w:t>
            </w:r>
          </w:p>
        </w:tc>
        <w:tc>
          <w:tcPr>
            <w:tcW w:w="1060" w:type="dxa"/>
            <w:gridSpan w:val="2"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804 997</w:t>
            </w:r>
          </w:p>
        </w:tc>
        <w:tc>
          <w:tcPr>
            <w:tcW w:w="1020" w:type="dxa"/>
            <w:gridSpan w:val="2"/>
            <w:noWrap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919 305</w:t>
            </w:r>
          </w:p>
        </w:tc>
        <w:tc>
          <w:tcPr>
            <w:tcW w:w="960" w:type="dxa"/>
            <w:gridSpan w:val="2"/>
            <w:noWrap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1 596 640</w:t>
            </w:r>
          </w:p>
        </w:tc>
        <w:tc>
          <w:tcPr>
            <w:tcW w:w="106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1 638 309</w:t>
            </w:r>
          </w:p>
        </w:tc>
        <w:tc>
          <w:tcPr>
            <w:tcW w:w="96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918 611</w:t>
            </w:r>
          </w:p>
        </w:tc>
        <w:tc>
          <w:tcPr>
            <w:tcW w:w="1020" w:type="dxa"/>
            <w:noWrap/>
            <w:hideMark/>
          </w:tcPr>
          <w:p w:rsidR="003863D0" w:rsidRPr="003863D0" w:rsidRDefault="003863D0" w:rsidP="003863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2 367 616</w:t>
            </w:r>
          </w:p>
        </w:tc>
      </w:tr>
      <w:tr w:rsidR="00BF70FD" w:rsidRPr="003863D0" w:rsidTr="008005C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19" w:type="dxa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hideMark/>
          </w:tcPr>
          <w:p w:rsidR="00BF70FD" w:rsidRPr="00A255E9" w:rsidRDefault="00BF70FD" w:rsidP="00BF70FD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Rozpočet 2017</w:t>
            </w:r>
          </w:p>
        </w:tc>
        <w:tc>
          <w:tcPr>
            <w:tcW w:w="1120" w:type="dxa"/>
            <w:gridSpan w:val="2"/>
            <w:hideMark/>
          </w:tcPr>
          <w:p w:rsidR="00BF70FD" w:rsidRPr="00A255E9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  <w:t>Skutočnosť 2017</w:t>
            </w:r>
          </w:p>
        </w:tc>
        <w:tc>
          <w:tcPr>
            <w:tcW w:w="960" w:type="dxa"/>
            <w:gridSpan w:val="2"/>
            <w:hideMark/>
          </w:tcPr>
          <w:p w:rsidR="00BF70FD" w:rsidRPr="00A255E9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  <w:t>Rozpočet 2018</w:t>
            </w:r>
          </w:p>
        </w:tc>
        <w:tc>
          <w:tcPr>
            <w:tcW w:w="1120" w:type="dxa"/>
            <w:gridSpan w:val="2"/>
            <w:hideMark/>
          </w:tcPr>
          <w:p w:rsidR="00BF70FD" w:rsidRPr="00A255E9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</w:pPr>
            <w:r w:rsidRPr="00A255E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  <w:t>Skutočnosť 2018</w:t>
            </w:r>
          </w:p>
        </w:tc>
        <w:tc>
          <w:tcPr>
            <w:tcW w:w="1120" w:type="dxa"/>
            <w:gridSpan w:val="2"/>
          </w:tcPr>
          <w:p w:rsidR="00BF70FD" w:rsidRPr="00A255E9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  <w:t>Rozpočet 2019</w:t>
            </w:r>
          </w:p>
        </w:tc>
        <w:tc>
          <w:tcPr>
            <w:tcW w:w="1120" w:type="dxa"/>
            <w:gridSpan w:val="2"/>
          </w:tcPr>
          <w:p w:rsidR="00BF70FD" w:rsidRPr="00A255E9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k-SK"/>
              </w:rPr>
              <w:t>Skutočnosť 2019</w:t>
            </w:r>
          </w:p>
        </w:tc>
      </w:tr>
      <w:tr w:rsidR="00BF70FD" w:rsidRPr="003863D0" w:rsidTr="008005C0">
        <w:trPr>
          <w:gridAfter w:val="4"/>
          <w:wAfter w:w="3219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noWrap/>
            <w:hideMark/>
          </w:tcPr>
          <w:p w:rsidR="00BF70FD" w:rsidRPr="00A255E9" w:rsidRDefault="00BF70FD" w:rsidP="00BF70FD">
            <w:pPr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A255E9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9 014 545</w:t>
            </w:r>
          </w:p>
        </w:tc>
        <w:tc>
          <w:tcPr>
            <w:tcW w:w="112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9 741 565</w:t>
            </w:r>
          </w:p>
        </w:tc>
        <w:tc>
          <w:tcPr>
            <w:tcW w:w="96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10 942 025</w:t>
            </w:r>
          </w:p>
        </w:tc>
        <w:tc>
          <w:tcPr>
            <w:tcW w:w="112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11 357 654</w:t>
            </w:r>
          </w:p>
        </w:tc>
        <w:tc>
          <w:tcPr>
            <w:tcW w:w="1120" w:type="dxa"/>
            <w:gridSpan w:val="2"/>
          </w:tcPr>
          <w:p w:rsidR="00BF70FD" w:rsidRPr="003863D0" w:rsidRDefault="00BF70FD" w:rsidP="00BF70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11 110 988</w:t>
            </w:r>
          </w:p>
        </w:tc>
        <w:tc>
          <w:tcPr>
            <w:tcW w:w="1120" w:type="dxa"/>
            <w:gridSpan w:val="2"/>
          </w:tcPr>
          <w:p w:rsidR="00BF70FD" w:rsidRPr="003863D0" w:rsidRDefault="00BF70FD" w:rsidP="00BF70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12 164 938</w:t>
            </w:r>
          </w:p>
        </w:tc>
      </w:tr>
      <w:tr w:rsidR="00BF70FD" w:rsidRPr="003863D0" w:rsidTr="008005C0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219" w:type="dxa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noWrap/>
            <w:hideMark/>
          </w:tcPr>
          <w:p w:rsidR="00BF70FD" w:rsidRPr="00A255E9" w:rsidRDefault="00BF70FD" w:rsidP="00BF70FD">
            <w:pPr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A255E9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1 143 417</w:t>
            </w:r>
          </w:p>
        </w:tc>
        <w:tc>
          <w:tcPr>
            <w:tcW w:w="112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887 656</w:t>
            </w:r>
          </w:p>
        </w:tc>
        <w:tc>
          <w:tcPr>
            <w:tcW w:w="96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1 451 017</w:t>
            </w:r>
          </w:p>
        </w:tc>
        <w:tc>
          <w:tcPr>
            <w:tcW w:w="1120" w:type="dxa"/>
            <w:gridSpan w:val="2"/>
            <w:noWrap/>
            <w:hideMark/>
          </w:tcPr>
          <w:p w:rsidR="00BF70FD" w:rsidRPr="003863D0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63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2 288 322</w:t>
            </w:r>
          </w:p>
        </w:tc>
        <w:tc>
          <w:tcPr>
            <w:tcW w:w="1120" w:type="dxa"/>
            <w:gridSpan w:val="2"/>
          </w:tcPr>
          <w:p w:rsidR="00BF70FD" w:rsidRPr="003863D0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1 098 561</w:t>
            </w:r>
          </w:p>
        </w:tc>
        <w:tc>
          <w:tcPr>
            <w:tcW w:w="1120" w:type="dxa"/>
            <w:gridSpan w:val="2"/>
          </w:tcPr>
          <w:p w:rsidR="00BF70FD" w:rsidRPr="003863D0" w:rsidRDefault="00BF70FD" w:rsidP="00BF70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2 138 489</w:t>
            </w:r>
          </w:p>
        </w:tc>
      </w:tr>
    </w:tbl>
    <w:p w:rsidR="001D5FA2" w:rsidRDefault="001D5FA2" w:rsidP="001E3069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73070E" w:rsidRPr="00BB3AE6" w:rsidRDefault="00DF6BEB" w:rsidP="001E3069">
      <w:pPr>
        <w:pStyle w:val="Default"/>
        <w:jc w:val="both"/>
        <w:rPr>
          <w:iCs/>
          <w:sz w:val="18"/>
          <w:szCs w:val="18"/>
        </w:rPr>
      </w:pP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>
        <w:rPr>
          <w:b/>
          <w:iCs/>
          <w:smallCaps/>
          <w:sz w:val="26"/>
          <w:szCs w:val="26"/>
        </w:rPr>
        <w:tab/>
      </w:r>
      <w:r w:rsidRPr="00DF6BEB">
        <w:rPr>
          <w:iCs/>
          <w:sz w:val="18"/>
          <w:szCs w:val="18"/>
        </w:rPr>
        <w:t>graf č. 2</w:t>
      </w:r>
    </w:p>
    <w:p w:rsidR="008960DE" w:rsidRDefault="00BF70FD" w:rsidP="008960DE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noProof/>
          <w:lang w:eastAsia="sk-SK"/>
        </w:rPr>
        <w:drawing>
          <wp:inline distT="0" distB="0" distL="0" distR="0" wp14:anchorId="018EC920" wp14:editId="4B047E1F">
            <wp:extent cx="4572000" cy="3065394"/>
            <wp:effectExtent l="0" t="0" r="0" b="190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F70FD" w:rsidRDefault="00BF70FD" w:rsidP="008960DE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BF70FD" w:rsidRDefault="00BF70FD" w:rsidP="008960DE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3863D0" w:rsidRDefault="003863D0" w:rsidP="008960DE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5108FC" w:rsidRPr="000750E4" w:rsidRDefault="009F0EB1" w:rsidP="005108FC">
      <w:pPr>
        <w:pStyle w:val="Default"/>
        <w:jc w:val="both"/>
        <w:rPr>
          <w:b/>
          <w:iCs/>
          <w:sz w:val="22"/>
          <w:szCs w:val="22"/>
        </w:rPr>
      </w:pPr>
      <w:r>
        <w:rPr>
          <w:b/>
          <w:iCs/>
          <w:sz w:val="23"/>
          <w:szCs w:val="23"/>
        </w:rPr>
        <w:tab/>
      </w:r>
      <w:r w:rsidRPr="000750E4">
        <w:rPr>
          <w:b/>
          <w:iCs/>
          <w:sz w:val="22"/>
          <w:szCs w:val="22"/>
        </w:rPr>
        <w:t xml:space="preserve">V návrhu </w:t>
      </w:r>
      <w:r w:rsidR="008050A6">
        <w:rPr>
          <w:b/>
          <w:iCs/>
          <w:sz w:val="22"/>
          <w:szCs w:val="22"/>
        </w:rPr>
        <w:t>„</w:t>
      </w:r>
      <w:r w:rsidRPr="000750E4">
        <w:rPr>
          <w:b/>
          <w:iCs/>
          <w:sz w:val="22"/>
          <w:szCs w:val="22"/>
        </w:rPr>
        <w:t>Záverečného účtu</w:t>
      </w:r>
      <w:r w:rsidR="008050A6">
        <w:rPr>
          <w:b/>
          <w:iCs/>
          <w:sz w:val="22"/>
          <w:szCs w:val="22"/>
        </w:rPr>
        <w:t>“</w:t>
      </w:r>
      <w:r w:rsidRPr="000750E4">
        <w:rPr>
          <w:b/>
          <w:iCs/>
          <w:sz w:val="22"/>
          <w:szCs w:val="22"/>
        </w:rPr>
        <w:t xml:space="preserve"> je podrobne zdôvodnené čerpanie bežných výdavkov podľa ekonomickej a funkčnej klasifikácie. </w:t>
      </w:r>
      <w:r w:rsidR="00772A00" w:rsidRPr="000750E4">
        <w:rPr>
          <w:b/>
          <w:iCs/>
          <w:sz w:val="22"/>
          <w:szCs w:val="22"/>
        </w:rPr>
        <w:t xml:space="preserve">Pomer kapitálových výdavkov k bežným výdavkom dosiahol </w:t>
      </w:r>
      <w:r w:rsidR="00BC240C">
        <w:rPr>
          <w:b/>
          <w:iCs/>
          <w:sz w:val="22"/>
          <w:szCs w:val="22"/>
        </w:rPr>
        <w:t xml:space="preserve">17,58% (r.2018 20,15%, </w:t>
      </w:r>
      <w:r w:rsidR="003863D0">
        <w:rPr>
          <w:b/>
          <w:iCs/>
          <w:sz w:val="22"/>
          <w:szCs w:val="22"/>
        </w:rPr>
        <w:t xml:space="preserve">r.2017 9,11%, </w:t>
      </w:r>
      <w:r w:rsidR="00D03F4B" w:rsidRPr="000750E4">
        <w:rPr>
          <w:b/>
          <w:iCs/>
          <w:sz w:val="22"/>
          <w:szCs w:val="22"/>
        </w:rPr>
        <w:t xml:space="preserve">r. 2016 </w:t>
      </w:r>
      <w:r w:rsidR="00772A00" w:rsidRPr="000750E4">
        <w:rPr>
          <w:b/>
          <w:iCs/>
          <w:sz w:val="22"/>
          <w:szCs w:val="22"/>
        </w:rPr>
        <w:t>2</w:t>
      </w:r>
      <w:r w:rsidR="00D03F4B" w:rsidRPr="000750E4">
        <w:rPr>
          <w:b/>
          <w:iCs/>
          <w:sz w:val="22"/>
          <w:szCs w:val="22"/>
        </w:rPr>
        <w:t>6</w:t>
      </w:r>
      <w:r w:rsidR="00772A00" w:rsidRPr="000750E4">
        <w:rPr>
          <w:b/>
          <w:iCs/>
          <w:sz w:val="22"/>
          <w:szCs w:val="22"/>
        </w:rPr>
        <w:t>,</w:t>
      </w:r>
      <w:r w:rsidR="00D03F4B" w:rsidRPr="000750E4">
        <w:rPr>
          <w:b/>
          <w:iCs/>
          <w:sz w:val="22"/>
          <w:szCs w:val="22"/>
        </w:rPr>
        <w:t>97</w:t>
      </w:r>
      <w:r w:rsidR="00772A00" w:rsidRPr="000750E4">
        <w:rPr>
          <w:b/>
          <w:iCs/>
          <w:sz w:val="22"/>
          <w:szCs w:val="22"/>
        </w:rPr>
        <w:t>%</w:t>
      </w:r>
      <w:r w:rsidR="00D03F4B" w:rsidRPr="000750E4">
        <w:rPr>
          <w:b/>
          <w:iCs/>
          <w:sz w:val="22"/>
          <w:szCs w:val="22"/>
        </w:rPr>
        <w:t>)</w:t>
      </w:r>
      <w:r w:rsidR="00772A00" w:rsidRPr="000750E4">
        <w:rPr>
          <w:b/>
          <w:iCs/>
          <w:sz w:val="22"/>
          <w:szCs w:val="22"/>
        </w:rPr>
        <w:t xml:space="preserve">. </w:t>
      </w:r>
      <w:r w:rsidR="00DF6BEB" w:rsidRPr="000750E4">
        <w:rPr>
          <w:b/>
          <w:iCs/>
          <w:sz w:val="22"/>
          <w:szCs w:val="22"/>
        </w:rPr>
        <w:t>Zmenu</w:t>
      </w:r>
      <w:r w:rsidR="005108FC" w:rsidRPr="000750E4">
        <w:rPr>
          <w:b/>
          <w:iCs/>
          <w:sz w:val="22"/>
          <w:szCs w:val="22"/>
        </w:rPr>
        <w:t xml:space="preserve"> časti kapitálových výdavkov</w:t>
      </w:r>
      <w:r w:rsidR="003863D0">
        <w:rPr>
          <w:b/>
          <w:iCs/>
          <w:sz w:val="22"/>
          <w:szCs w:val="22"/>
        </w:rPr>
        <w:t xml:space="preserve"> interpretuje graf č.2</w:t>
      </w:r>
      <w:r w:rsidR="005108FC" w:rsidRPr="000750E4">
        <w:rPr>
          <w:b/>
          <w:iCs/>
          <w:sz w:val="22"/>
          <w:szCs w:val="22"/>
        </w:rPr>
        <w:t xml:space="preserve">.  </w:t>
      </w:r>
    </w:p>
    <w:p w:rsidR="0089044C" w:rsidRPr="000750E4" w:rsidRDefault="0089044C" w:rsidP="0050438F">
      <w:pPr>
        <w:pStyle w:val="Default"/>
        <w:jc w:val="both"/>
        <w:rPr>
          <w:b/>
          <w:iCs/>
          <w:sz w:val="22"/>
          <w:szCs w:val="22"/>
        </w:rPr>
      </w:pPr>
    </w:p>
    <w:p w:rsidR="001E3069" w:rsidRPr="000750E4" w:rsidRDefault="00BB3AE6" w:rsidP="0050438F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 xml:space="preserve">Čerpanie bežných výdavkov </w:t>
      </w:r>
    </w:p>
    <w:p w:rsidR="00BB3AE6" w:rsidRPr="000750E4" w:rsidRDefault="00BB3AE6" w:rsidP="0050438F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E3069" w:rsidRPr="000750E4" w:rsidRDefault="001E3069" w:rsidP="0050438F">
      <w:pPr>
        <w:pStyle w:val="Default"/>
        <w:jc w:val="both"/>
        <w:rPr>
          <w:iCs/>
          <w:sz w:val="22"/>
          <w:szCs w:val="22"/>
        </w:rPr>
      </w:pPr>
      <w:r w:rsidRPr="000750E4">
        <w:rPr>
          <w:b/>
          <w:iCs/>
          <w:smallCaps/>
          <w:sz w:val="22"/>
          <w:szCs w:val="22"/>
        </w:rPr>
        <w:tab/>
      </w:r>
      <w:r w:rsidRPr="000750E4">
        <w:rPr>
          <w:iCs/>
          <w:sz w:val="22"/>
          <w:szCs w:val="22"/>
        </w:rPr>
        <w:t>Z prehľadu čerp</w:t>
      </w:r>
      <w:r w:rsidR="0073070E" w:rsidRPr="000750E4">
        <w:rPr>
          <w:iCs/>
          <w:sz w:val="22"/>
          <w:szCs w:val="22"/>
        </w:rPr>
        <w:t>ania bežných výdavkov je zrejmé, že v roku 201</w:t>
      </w:r>
      <w:r w:rsidR="008005C0">
        <w:rPr>
          <w:iCs/>
          <w:sz w:val="22"/>
          <w:szCs w:val="22"/>
        </w:rPr>
        <w:t>9</w:t>
      </w:r>
      <w:r w:rsidR="00BB3AE6" w:rsidRPr="000750E4">
        <w:rPr>
          <w:iCs/>
          <w:sz w:val="22"/>
          <w:szCs w:val="22"/>
        </w:rPr>
        <w:t xml:space="preserve"> došlo k </w:t>
      </w:r>
      <w:r w:rsidR="0073070E" w:rsidRPr="000750E4">
        <w:rPr>
          <w:iCs/>
          <w:sz w:val="22"/>
          <w:szCs w:val="22"/>
        </w:rPr>
        <w:t>nárastu</w:t>
      </w:r>
      <w:r w:rsidR="004351AB" w:rsidRPr="000750E4">
        <w:rPr>
          <w:iCs/>
          <w:sz w:val="22"/>
          <w:szCs w:val="22"/>
        </w:rPr>
        <w:t xml:space="preserve"> použitia skutočných</w:t>
      </w:r>
      <w:r w:rsidR="0073070E" w:rsidRPr="000750E4">
        <w:rPr>
          <w:iCs/>
          <w:sz w:val="22"/>
          <w:szCs w:val="22"/>
        </w:rPr>
        <w:t xml:space="preserve"> b</w:t>
      </w:r>
      <w:r w:rsidR="004351AB" w:rsidRPr="000750E4">
        <w:rPr>
          <w:iCs/>
          <w:sz w:val="22"/>
          <w:szCs w:val="22"/>
        </w:rPr>
        <w:t xml:space="preserve">ežných aj kapitálových výdavkov. </w:t>
      </w:r>
    </w:p>
    <w:p w:rsidR="00764FD6" w:rsidRPr="008050A6" w:rsidRDefault="00271390" w:rsidP="0050438F">
      <w:pPr>
        <w:pStyle w:val="Default"/>
        <w:jc w:val="both"/>
        <w:rPr>
          <w:b/>
          <w:iCs/>
          <w:sz w:val="18"/>
          <w:szCs w:val="18"/>
        </w:rPr>
      </w:pP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  <w:sz w:val="22"/>
          <w:szCs w:val="22"/>
        </w:rPr>
        <w:tab/>
      </w:r>
      <w:r w:rsidRPr="008050A6">
        <w:rPr>
          <w:b/>
          <w:iCs/>
          <w:smallCaps/>
        </w:rPr>
        <w:tab/>
      </w:r>
      <w:r w:rsidRPr="008050A6">
        <w:rPr>
          <w:b/>
          <w:iCs/>
          <w:smallCaps/>
        </w:rPr>
        <w:tab/>
      </w:r>
      <w:r w:rsidRPr="008050A6">
        <w:rPr>
          <w:b/>
          <w:iCs/>
          <w:smallCaps/>
        </w:rPr>
        <w:tab/>
      </w:r>
      <w:r w:rsidRPr="008050A6">
        <w:rPr>
          <w:b/>
          <w:iCs/>
          <w:smallCaps/>
        </w:rPr>
        <w:tab/>
      </w:r>
      <w:r w:rsidRPr="008050A6">
        <w:rPr>
          <w:b/>
          <w:iCs/>
          <w:sz w:val="18"/>
          <w:szCs w:val="18"/>
        </w:rPr>
        <w:t>tab.</w:t>
      </w:r>
      <w:r w:rsidR="00D61EFD" w:rsidRPr="008050A6">
        <w:rPr>
          <w:b/>
          <w:iCs/>
          <w:sz w:val="18"/>
          <w:szCs w:val="18"/>
        </w:rPr>
        <w:t xml:space="preserve"> </w:t>
      </w:r>
      <w:r w:rsidRPr="008050A6">
        <w:rPr>
          <w:b/>
          <w:iCs/>
          <w:sz w:val="18"/>
          <w:szCs w:val="18"/>
        </w:rPr>
        <w:t xml:space="preserve">č. </w:t>
      </w:r>
      <w:r w:rsidR="001736D6" w:rsidRPr="008050A6">
        <w:rPr>
          <w:b/>
          <w:iCs/>
          <w:sz w:val="18"/>
          <w:szCs w:val="18"/>
        </w:rPr>
        <w:t>6</w:t>
      </w:r>
      <w:r w:rsidRPr="008050A6">
        <w:rPr>
          <w:b/>
          <w:iCs/>
          <w:sz w:val="18"/>
          <w:szCs w:val="18"/>
        </w:rPr>
        <w:t xml:space="preserve"> </w:t>
      </w:r>
    </w:p>
    <w:tbl>
      <w:tblPr>
        <w:tblStyle w:val="Obyajntabuka1"/>
        <w:tblW w:w="9209" w:type="dxa"/>
        <w:tblLayout w:type="fixed"/>
        <w:tblLook w:val="04A0" w:firstRow="1" w:lastRow="0" w:firstColumn="1" w:lastColumn="0" w:noHBand="0" w:noVBand="1"/>
      </w:tblPr>
      <w:tblGrid>
        <w:gridCol w:w="557"/>
        <w:gridCol w:w="2132"/>
        <w:gridCol w:w="992"/>
        <w:gridCol w:w="992"/>
        <w:gridCol w:w="852"/>
        <w:gridCol w:w="991"/>
        <w:gridCol w:w="877"/>
        <w:gridCol w:w="824"/>
        <w:gridCol w:w="992"/>
      </w:tblGrid>
      <w:tr w:rsidR="00722198" w:rsidRPr="008050A6" w:rsidTr="00722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8050A6" w:rsidRDefault="00722198" w:rsidP="00722198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8050A6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Číslo programu</w:t>
            </w:r>
          </w:p>
        </w:tc>
        <w:tc>
          <w:tcPr>
            <w:tcW w:w="2132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722198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Názov programu</w:t>
            </w:r>
          </w:p>
        </w:tc>
        <w:tc>
          <w:tcPr>
            <w:tcW w:w="992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 2019</w:t>
            </w:r>
          </w:p>
        </w:tc>
        <w:tc>
          <w:tcPr>
            <w:tcW w:w="992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Výdavky skutočnosť k 31.12.2019</w:t>
            </w:r>
          </w:p>
        </w:tc>
        <w:tc>
          <w:tcPr>
            <w:tcW w:w="852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% pomer k celkovým výdavkom </w:t>
            </w:r>
          </w:p>
        </w:tc>
        <w:tc>
          <w:tcPr>
            <w:tcW w:w="991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Výdavky skutočnosť k 31.12.2018</w:t>
            </w:r>
          </w:p>
        </w:tc>
        <w:tc>
          <w:tcPr>
            <w:tcW w:w="877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% pomer k celkovým výdavkom </w:t>
            </w:r>
          </w:p>
        </w:tc>
        <w:tc>
          <w:tcPr>
            <w:tcW w:w="824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% zmeny (r.2019/r.2018)</w:t>
            </w:r>
          </w:p>
        </w:tc>
        <w:tc>
          <w:tcPr>
            <w:tcW w:w="992" w:type="dxa"/>
            <w:hideMark/>
          </w:tcPr>
          <w:p w:rsidR="00722198" w:rsidRPr="00722198" w:rsidRDefault="00722198" w:rsidP="007221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Nárast v €          -pokles v €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Činnosť </w:t>
            </w:r>
            <w:proofErr w:type="spellStart"/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MsZ</w:t>
            </w:r>
            <w:proofErr w:type="spellEnd"/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MsR</w:t>
            </w:r>
            <w:proofErr w:type="spellEnd"/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a komisií </w:t>
            </w:r>
            <w:proofErr w:type="spellStart"/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MsZ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37 570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34 951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30 673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4 278</w:t>
            </w:r>
          </w:p>
        </w:tc>
      </w:tr>
      <w:tr w:rsidR="00722198" w:rsidRPr="00ED78DD" w:rsidTr="0072219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Samosprávne činnosti MsÚ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1 905 024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1 760 533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14,47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1 802 525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15,87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-41 992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Služby občanom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1 047 029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1 046 485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879 234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7,74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167 251</w:t>
            </w:r>
          </w:p>
        </w:tc>
      </w:tr>
      <w:tr w:rsidR="00722198" w:rsidRPr="00ED78DD" w:rsidTr="007221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Interné služby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74 100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73 071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84 978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-11 907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Bezpečnosť 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303 931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295 018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2,43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251 345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2,21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43 673</w:t>
            </w:r>
          </w:p>
        </w:tc>
      </w:tr>
      <w:tr w:rsidR="00722198" w:rsidRPr="00ED78DD" w:rsidTr="00722198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Menšie obecné služby a podpora regionálnej a miestnej zamestnanosti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180 390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182 348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192 079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1,69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-9 731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Spoločný obecný úrad pre územné rozhodovanie a stavebný poriadok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150 413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141 716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131 572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10 144</w:t>
            </w:r>
          </w:p>
        </w:tc>
      </w:tr>
      <w:tr w:rsidR="00722198" w:rsidRPr="00ED78DD" w:rsidTr="0072219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lastRenderedPageBreak/>
              <w:t>8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Doprava a pozemné komunikácie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325 374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280 663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2,31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681 606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-400 943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Životné prostredie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559 800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563 727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4,63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553 462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4,87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10 265</w:t>
            </w:r>
          </w:p>
        </w:tc>
      </w:tr>
      <w:tr w:rsidR="00722198" w:rsidRPr="00ED78DD" w:rsidTr="007221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10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Rozvoj bývania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24 366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21 469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22 029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-560</w:t>
            </w:r>
          </w:p>
        </w:tc>
      </w:tr>
      <w:tr w:rsidR="00722198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11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Šport a kultúra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543 631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540 927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4,45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529 230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4,66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11 697</w:t>
            </w:r>
          </w:p>
        </w:tc>
      </w:tr>
      <w:tr w:rsidR="00722198" w:rsidRPr="00ED78DD" w:rsidTr="007221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722198" w:rsidRPr="00ED78DD" w:rsidRDefault="00722198" w:rsidP="0072219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12</w:t>
            </w:r>
          </w:p>
        </w:tc>
        <w:tc>
          <w:tcPr>
            <w:tcW w:w="2132" w:type="dxa"/>
            <w:hideMark/>
          </w:tcPr>
          <w:p w:rsidR="00722198" w:rsidRPr="00ED78DD" w:rsidRDefault="00722198" w:rsidP="00722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Školstvo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7 025 237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6 895 190</w:t>
            </w:r>
          </w:p>
        </w:tc>
        <w:tc>
          <w:tcPr>
            <w:tcW w:w="85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56,68</w:t>
            </w:r>
          </w:p>
        </w:tc>
        <w:tc>
          <w:tcPr>
            <w:tcW w:w="991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5 912 904</w:t>
            </w:r>
          </w:p>
        </w:tc>
        <w:tc>
          <w:tcPr>
            <w:tcW w:w="877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52,06</w:t>
            </w:r>
          </w:p>
        </w:tc>
        <w:tc>
          <w:tcPr>
            <w:tcW w:w="824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92" w:type="dxa"/>
            <w:vAlign w:val="center"/>
            <w:hideMark/>
          </w:tcPr>
          <w:p w:rsidR="00722198" w:rsidRPr="00722198" w:rsidRDefault="00722198" w:rsidP="007221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982 286</w:t>
            </w:r>
          </w:p>
        </w:tc>
      </w:tr>
      <w:tr w:rsidR="00142030" w:rsidRPr="00ED78DD" w:rsidTr="00722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142030" w:rsidRPr="00ED78DD" w:rsidRDefault="00142030" w:rsidP="0014203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>13</w:t>
            </w:r>
          </w:p>
        </w:tc>
        <w:tc>
          <w:tcPr>
            <w:tcW w:w="2132" w:type="dxa"/>
            <w:hideMark/>
          </w:tcPr>
          <w:p w:rsidR="00142030" w:rsidRPr="00ED78DD" w:rsidRDefault="00142030" w:rsidP="001420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Sociálne služby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344 255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286 017</w:t>
            </w:r>
          </w:p>
        </w:tc>
        <w:tc>
          <w:tcPr>
            <w:tcW w:w="852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2,52</w:t>
            </w:r>
          </w:p>
        </w:tc>
        <w:tc>
          <w:tcPr>
            <w:tcW w:w="991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248 524</w:t>
            </w:r>
          </w:p>
        </w:tc>
        <w:tc>
          <w:tcPr>
            <w:tcW w:w="877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824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37 493</w:t>
            </w:r>
          </w:p>
        </w:tc>
      </w:tr>
      <w:tr w:rsidR="00142030" w:rsidRPr="00ED78DD" w:rsidTr="00722198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hideMark/>
          </w:tcPr>
          <w:p w:rsidR="00142030" w:rsidRPr="00ED78DD" w:rsidRDefault="00142030" w:rsidP="0014203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2132" w:type="dxa"/>
            <w:hideMark/>
          </w:tcPr>
          <w:p w:rsidR="00142030" w:rsidRPr="00ED78DD" w:rsidRDefault="00142030" w:rsidP="001420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D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k-SK"/>
              </w:rPr>
              <w:t>Spolu výdavky programov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11 884 510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11 357 653</w:t>
            </w:r>
          </w:p>
        </w:tc>
        <w:tc>
          <w:tcPr>
            <w:tcW w:w="852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1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9 741 565</w:t>
            </w:r>
          </w:p>
        </w:tc>
        <w:tc>
          <w:tcPr>
            <w:tcW w:w="877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24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116,59</w:t>
            </w:r>
          </w:p>
        </w:tc>
        <w:tc>
          <w:tcPr>
            <w:tcW w:w="992" w:type="dxa"/>
            <w:hideMark/>
          </w:tcPr>
          <w:p w:rsidR="00142030" w:rsidRPr="00722198" w:rsidRDefault="00142030" w:rsidP="001420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221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1 616 088</w:t>
            </w:r>
          </w:p>
        </w:tc>
      </w:tr>
    </w:tbl>
    <w:p w:rsidR="00764FD6" w:rsidRDefault="00764FD6" w:rsidP="006A5D62">
      <w:pPr>
        <w:pStyle w:val="Default"/>
        <w:spacing w:line="276" w:lineRule="auto"/>
        <w:jc w:val="both"/>
        <w:rPr>
          <w:b/>
          <w:iCs/>
          <w:smallCaps/>
        </w:rPr>
      </w:pPr>
    </w:p>
    <w:p w:rsidR="00242E98" w:rsidRPr="000750E4" w:rsidRDefault="00FE3E25" w:rsidP="00112099">
      <w:pPr>
        <w:pStyle w:val="Default"/>
        <w:spacing w:line="276" w:lineRule="auto"/>
        <w:ind w:firstLine="709"/>
        <w:jc w:val="both"/>
        <w:rPr>
          <w:b/>
          <w:bCs/>
          <w:sz w:val="22"/>
          <w:szCs w:val="22"/>
        </w:rPr>
      </w:pPr>
      <w:r w:rsidRPr="000750E4">
        <w:rPr>
          <w:b/>
          <w:sz w:val="22"/>
          <w:szCs w:val="22"/>
        </w:rPr>
        <w:t>Na základe</w:t>
      </w:r>
      <w:r w:rsidR="00C32987">
        <w:rPr>
          <w:b/>
          <w:sz w:val="22"/>
          <w:szCs w:val="22"/>
        </w:rPr>
        <w:t xml:space="preserve"> medziročného</w:t>
      </w:r>
      <w:r w:rsidRPr="000750E4">
        <w:rPr>
          <w:b/>
          <w:sz w:val="22"/>
          <w:szCs w:val="22"/>
        </w:rPr>
        <w:t xml:space="preserve"> </w:t>
      </w:r>
      <w:r w:rsidR="00242E98" w:rsidRPr="000750E4">
        <w:rPr>
          <w:b/>
          <w:sz w:val="22"/>
          <w:szCs w:val="22"/>
        </w:rPr>
        <w:t>zhodnotenia vývoja čerpania rozpočtu bežnýc</w:t>
      </w:r>
      <w:r w:rsidR="007347F8" w:rsidRPr="000750E4">
        <w:rPr>
          <w:b/>
          <w:sz w:val="22"/>
          <w:szCs w:val="22"/>
        </w:rPr>
        <w:t xml:space="preserve">h výdavkov </w:t>
      </w:r>
      <w:r w:rsidR="00BF43D8" w:rsidRPr="000750E4">
        <w:rPr>
          <w:b/>
          <w:sz w:val="22"/>
          <w:szCs w:val="22"/>
        </w:rPr>
        <w:t xml:space="preserve">možno </w:t>
      </w:r>
      <w:r w:rsidR="00A555A2" w:rsidRPr="000750E4">
        <w:rPr>
          <w:b/>
          <w:sz w:val="22"/>
          <w:szCs w:val="22"/>
        </w:rPr>
        <w:t>konštatovať</w:t>
      </w:r>
      <w:r w:rsidRPr="000750E4">
        <w:rPr>
          <w:b/>
          <w:sz w:val="22"/>
          <w:szCs w:val="22"/>
        </w:rPr>
        <w:t xml:space="preserve">, že </w:t>
      </w:r>
      <w:r w:rsidRPr="000750E4">
        <w:rPr>
          <w:b/>
          <w:bCs/>
          <w:sz w:val="22"/>
          <w:szCs w:val="22"/>
        </w:rPr>
        <w:t xml:space="preserve">bežné príjmy </w:t>
      </w:r>
      <w:r w:rsidR="0089044C" w:rsidRPr="000750E4">
        <w:rPr>
          <w:b/>
          <w:sz w:val="22"/>
          <w:szCs w:val="22"/>
        </w:rPr>
        <w:t>stúp</w:t>
      </w:r>
      <w:r w:rsidR="00C32987">
        <w:rPr>
          <w:b/>
          <w:sz w:val="22"/>
          <w:szCs w:val="22"/>
        </w:rPr>
        <w:t>a</w:t>
      </w:r>
      <w:r w:rsidR="0089044C" w:rsidRPr="000750E4">
        <w:rPr>
          <w:b/>
          <w:sz w:val="22"/>
          <w:szCs w:val="22"/>
        </w:rPr>
        <w:t xml:space="preserve">li </w:t>
      </w:r>
      <w:r w:rsidRPr="000750E4">
        <w:rPr>
          <w:b/>
          <w:bCs/>
          <w:sz w:val="22"/>
          <w:szCs w:val="22"/>
        </w:rPr>
        <w:t>o</w:t>
      </w:r>
      <w:r w:rsidR="00CD540D">
        <w:rPr>
          <w:b/>
          <w:bCs/>
          <w:sz w:val="22"/>
          <w:szCs w:val="22"/>
        </w:rPr>
        <w:t xml:space="preserve"> 12,04% (r.2018/2017 13,97%, </w:t>
      </w:r>
      <w:r w:rsidR="00C32987">
        <w:rPr>
          <w:b/>
          <w:bCs/>
          <w:sz w:val="22"/>
          <w:szCs w:val="22"/>
        </w:rPr>
        <w:t xml:space="preserve">r.2017/2016 7,03%, </w:t>
      </w:r>
      <w:r w:rsidR="005C581C" w:rsidRPr="000750E4">
        <w:rPr>
          <w:b/>
          <w:bCs/>
          <w:sz w:val="22"/>
          <w:szCs w:val="22"/>
        </w:rPr>
        <w:t>r.2016</w:t>
      </w:r>
      <w:r w:rsidR="00C32987">
        <w:rPr>
          <w:b/>
          <w:bCs/>
          <w:sz w:val="22"/>
          <w:szCs w:val="22"/>
        </w:rPr>
        <w:t>/2015 o 10,48%</w:t>
      </w:r>
      <w:r w:rsidR="0089044C" w:rsidRPr="000750E4">
        <w:rPr>
          <w:b/>
          <w:bCs/>
          <w:sz w:val="22"/>
          <w:szCs w:val="22"/>
        </w:rPr>
        <w:t xml:space="preserve">) </w:t>
      </w:r>
      <w:r w:rsidR="00A56644" w:rsidRPr="000750E4">
        <w:rPr>
          <w:b/>
          <w:sz w:val="22"/>
          <w:szCs w:val="22"/>
        </w:rPr>
        <w:t xml:space="preserve">a </w:t>
      </w:r>
      <w:r w:rsidRPr="000750E4">
        <w:rPr>
          <w:b/>
          <w:sz w:val="22"/>
          <w:szCs w:val="22"/>
        </w:rPr>
        <w:t xml:space="preserve">celkové </w:t>
      </w:r>
      <w:r w:rsidRPr="000750E4">
        <w:rPr>
          <w:b/>
          <w:bCs/>
          <w:sz w:val="22"/>
          <w:szCs w:val="22"/>
        </w:rPr>
        <w:t xml:space="preserve">bežné výdavky </w:t>
      </w:r>
      <w:r w:rsidR="00A56644" w:rsidRPr="0051341F">
        <w:rPr>
          <w:b/>
          <w:bCs/>
          <w:sz w:val="22"/>
          <w:szCs w:val="22"/>
        </w:rPr>
        <w:t>stúp</w:t>
      </w:r>
      <w:r w:rsidR="00242E98" w:rsidRPr="0051341F">
        <w:rPr>
          <w:b/>
          <w:bCs/>
          <w:sz w:val="22"/>
          <w:szCs w:val="22"/>
        </w:rPr>
        <w:t>a</w:t>
      </w:r>
      <w:r w:rsidR="0089044C" w:rsidRPr="0051341F">
        <w:rPr>
          <w:b/>
          <w:bCs/>
          <w:sz w:val="22"/>
          <w:szCs w:val="22"/>
        </w:rPr>
        <w:t>li o</w:t>
      </w:r>
      <w:r w:rsidR="00B06ED3">
        <w:rPr>
          <w:b/>
          <w:bCs/>
          <w:sz w:val="22"/>
          <w:szCs w:val="22"/>
        </w:rPr>
        <w:t> 7,11% (r.2018/2017 6,59%, r.2017/2016 </w:t>
      </w:r>
      <w:r w:rsidR="005C581C" w:rsidRPr="0051341F">
        <w:rPr>
          <w:b/>
          <w:bCs/>
          <w:sz w:val="22"/>
          <w:szCs w:val="22"/>
        </w:rPr>
        <w:t>10,95%</w:t>
      </w:r>
      <w:r w:rsidR="0051341F" w:rsidRPr="0051341F">
        <w:rPr>
          <w:b/>
          <w:bCs/>
          <w:sz w:val="22"/>
          <w:szCs w:val="22"/>
        </w:rPr>
        <w:t>,</w:t>
      </w:r>
      <w:r w:rsidR="0051341F">
        <w:rPr>
          <w:b/>
          <w:bCs/>
          <w:sz w:val="22"/>
          <w:szCs w:val="22"/>
        </w:rPr>
        <w:t xml:space="preserve"> </w:t>
      </w:r>
      <w:r w:rsidR="00B06ED3" w:rsidRPr="000750E4">
        <w:rPr>
          <w:b/>
          <w:bCs/>
          <w:sz w:val="22"/>
          <w:szCs w:val="22"/>
        </w:rPr>
        <w:t>r.2016</w:t>
      </w:r>
      <w:r w:rsidR="00B06ED3">
        <w:rPr>
          <w:b/>
          <w:bCs/>
          <w:sz w:val="22"/>
          <w:szCs w:val="22"/>
        </w:rPr>
        <w:t>/2015 o 7,93%)</w:t>
      </w:r>
      <w:r w:rsidR="0089044C" w:rsidRPr="000750E4">
        <w:rPr>
          <w:b/>
          <w:bCs/>
          <w:sz w:val="22"/>
          <w:szCs w:val="22"/>
        </w:rPr>
        <w:t>.</w:t>
      </w:r>
      <w:r w:rsidR="00492EE1" w:rsidRPr="000750E4">
        <w:rPr>
          <w:b/>
          <w:bCs/>
          <w:sz w:val="22"/>
          <w:szCs w:val="22"/>
        </w:rPr>
        <w:t xml:space="preserve"> </w:t>
      </w:r>
      <w:r w:rsidR="00242E98" w:rsidRPr="000750E4">
        <w:rPr>
          <w:b/>
          <w:bCs/>
          <w:sz w:val="22"/>
          <w:szCs w:val="22"/>
        </w:rPr>
        <w:t>Mesto zaznamenalo v medziročnom porovnaní vo vše</w:t>
      </w:r>
      <w:r w:rsidR="005E308B" w:rsidRPr="000750E4">
        <w:rPr>
          <w:b/>
          <w:bCs/>
          <w:sz w:val="22"/>
          <w:szCs w:val="22"/>
        </w:rPr>
        <w:t>tkých programoch vyššie výdavky</w:t>
      </w:r>
      <w:r w:rsidR="00B06ED3">
        <w:rPr>
          <w:b/>
          <w:bCs/>
          <w:sz w:val="22"/>
          <w:szCs w:val="22"/>
        </w:rPr>
        <w:t xml:space="preserve"> (okrem Program 2 Samosprávne činnosti, Programu 4 Interné služby, Program 6 Menšie obecné služby a podpora regionálnej a miestnej zamestnanosti, Program 8 Doprava a pozemné služby, Program 10 Rozvoj bývania, Program 13 Sociálne služby)</w:t>
      </w:r>
      <w:r w:rsidR="00242E98" w:rsidRPr="000750E4">
        <w:rPr>
          <w:b/>
          <w:bCs/>
          <w:sz w:val="22"/>
          <w:szCs w:val="22"/>
        </w:rPr>
        <w:t xml:space="preserve">. </w:t>
      </w:r>
    </w:p>
    <w:p w:rsidR="00A56644" w:rsidRPr="000750E4" w:rsidRDefault="00A56644" w:rsidP="00112099">
      <w:pPr>
        <w:pStyle w:val="Default"/>
        <w:spacing w:line="276" w:lineRule="auto"/>
        <w:ind w:firstLine="709"/>
        <w:jc w:val="both"/>
        <w:rPr>
          <w:b/>
          <w:bCs/>
          <w:sz w:val="22"/>
          <w:szCs w:val="22"/>
        </w:rPr>
      </w:pPr>
    </w:p>
    <w:p w:rsidR="00287794" w:rsidRPr="000750E4" w:rsidRDefault="00287794" w:rsidP="00320C0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  <w:b/>
        </w:rPr>
        <w:t>Bežná časť rozpočtu zaznamenala celkový prebytok</w:t>
      </w:r>
      <w:r w:rsidR="006A5D62" w:rsidRPr="000750E4">
        <w:rPr>
          <w:rFonts w:ascii="Times New Roman" w:hAnsi="Times New Roman" w:cs="Times New Roman"/>
          <w:b/>
        </w:rPr>
        <w:t xml:space="preserve"> </w:t>
      </w:r>
      <w:r w:rsidRPr="000750E4">
        <w:rPr>
          <w:rFonts w:ascii="Times New Roman" w:hAnsi="Times New Roman" w:cs="Times New Roman"/>
          <w:b/>
        </w:rPr>
        <w:t xml:space="preserve">vo výške </w:t>
      </w:r>
      <w:r w:rsidR="00324D6C">
        <w:rPr>
          <w:rFonts w:ascii="Times New Roman" w:hAnsi="Times New Roman" w:cs="Times New Roman"/>
          <w:b/>
        </w:rPr>
        <w:t xml:space="preserve">1.322.265€ (r.2018 </w:t>
      </w:r>
      <w:r w:rsidR="001C14DB">
        <w:rPr>
          <w:rFonts w:ascii="Times New Roman" w:hAnsi="Times New Roman" w:cs="Times New Roman"/>
          <w:b/>
        </w:rPr>
        <w:t xml:space="preserve">696.436€ (r.2017 </w:t>
      </w:r>
      <w:r w:rsidR="005E308B" w:rsidRPr="000750E4">
        <w:rPr>
          <w:rFonts w:ascii="Times New Roman" w:hAnsi="Times New Roman" w:cs="Times New Roman"/>
          <w:b/>
        </w:rPr>
        <w:t>820.610€</w:t>
      </w:r>
      <w:r w:rsidR="001C14DB">
        <w:rPr>
          <w:rFonts w:ascii="Times New Roman" w:hAnsi="Times New Roman" w:cs="Times New Roman"/>
          <w:b/>
        </w:rPr>
        <w:t>, r.</w:t>
      </w:r>
      <w:r w:rsidR="005E308B" w:rsidRPr="000750E4">
        <w:rPr>
          <w:rFonts w:ascii="Times New Roman" w:hAnsi="Times New Roman" w:cs="Times New Roman"/>
          <w:b/>
        </w:rPr>
        <w:t xml:space="preserve">2016 </w:t>
      </w:r>
      <w:r w:rsidR="00242E98" w:rsidRPr="000750E4">
        <w:rPr>
          <w:rFonts w:ascii="Times New Roman" w:hAnsi="Times New Roman" w:cs="Times New Roman"/>
          <w:b/>
        </w:rPr>
        <w:t>1.088.181</w:t>
      </w:r>
      <w:r w:rsidR="005E308B" w:rsidRPr="000750E4">
        <w:rPr>
          <w:rFonts w:ascii="Times New Roman" w:hAnsi="Times New Roman" w:cs="Times New Roman"/>
          <w:b/>
        </w:rPr>
        <w:t xml:space="preserve">€). </w:t>
      </w:r>
      <w:r w:rsidR="00EC70B7">
        <w:rPr>
          <w:rFonts w:ascii="Times New Roman" w:hAnsi="Times New Roman" w:cs="Times New Roman"/>
          <w:b/>
        </w:rPr>
        <w:t xml:space="preserve">Prebytok bežnej časti rozpočtu bol zdrojom krytia </w:t>
      </w:r>
      <w:r w:rsidR="00363142">
        <w:rPr>
          <w:rFonts w:ascii="Times New Roman" w:hAnsi="Times New Roman" w:cs="Times New Roman"/>
          <w:b/>
        </w:rPr>
        <w:t xml:space="preserve">schodku (výdavkov) kapitálového rozpočtu. </w:t>
      </w:r>
      <w:r w:rsidRPr="000750E4">
        <w:rPr>
          <w:rFonts w:ascii="Times New Roman" w:hAnsi="Times New Roman" w:cs="Times New Roman"/>
        </w:rPr>
        <w:t>Zákon č. 583/2004 Z.z. o rozpočtových pravidlách územnej samosprávy v znení zmien a doplnkov v</w:t>
      </w:r>
      <w:r w:rsidR="005E308B" w:rsidRPr="000750E4">
        <w:rPr>
          <w:rFonts w:ascii="Times New Roman" w:hAnsi="Times New Roman" w:cs="Times New Roman"/>
        </w:rPr>
        <w:t> </w:t>
      </w:r>
      <w:proofErr w:type="spellStart"/>
      <w:r w:rsidR="005E308B" w:rsidRPr="000750E4">
        <w:rPr>
          <w:rFonts w:ascii="Times New Roman" w:hAnsi="Times New Roman" w:cs="Times New Roman"/>
        </w:rPr>
        <w:t>ust</w:t>
      </w:r>
      <w:proofErr w:type="spellEnd"/>
      <w:r w:rsidR="005E308B" w:rsidRPr="000750E4">
        <w:rPr>
          <w:rFonts w:ascii="Times New Roman" w:hAnsi="Times New Roman" w:cs="Times New Roman"/>
        </w:rPr>
        <w:t xml:space="preserve">. </w:t>
      </w:r>
      <w:r w:rsidRPr="000750E4">
        <w:rPr>
          <w:rFonts w:ascii="Times New Roman" w:hAnsi="Times New Roman" w:cs="Times New Roman"/>
        </w:rPr>
        <w:t xml:space="preserve">§ 10 ods. 7 ukladá mestám zostaviť rozpočet ako vyrovnaný alebo prebytkový. </w:t>
      </w:r>
      <w:r w:rsidRPr="000750E4">
        <w:rPr>
          <w:rFonts w:ascii="Times New Roman" w:hAnsi="Times New Roman" w:cs="Times New Roman"/>
          <w:b/>
        </w:rPr>
        <w:t xml:space="preserve">V tejto oblasti bol zo strany mesta dodržaný zákon. </w:t>
      </w:r>
      <w:r w:rsidR="006A5D62" w:rsidRPr="000750E4">
        <w:rPr>
          <w:rFonts w:ascii="Times New Roman" w:hAnsi="Times New Roman" w:cs="Times New Roman"/>
          <w:b/>
          <w:bCs/>
        </w:rPr>
        <w:t>Na základe uvedeného</w:t>
      </w:r>
      <w:r w:rsidR="00A555A2" w:rsidRPr="000750E4">
        <w:rPr>
          <w:rFonts w:ascii="Times New Roman" w:hAnsi="Times New Roman" w:cs="Times New Roman"/>
          <w:b/>
          <w:bCs/>
        </w:rPr>
        <w:t xml:space="preserve"> je možné konštatovať</w:t>
      </w:r>
      <w:r w:rsidR="006A5D62" w:rsidRPr="000750E4">
        <w:rPr>
          <w:rFonts w:ascii="Times New Roman" w:hAnsi="Times New Roman" w:cs="Times New Roman"/>
          <w:b/>
          <w:bCs/>
        </w:rPr>
        <w:t>, že spracovatelia rozpočtu pri zostavovaní rozpočtu v tejto položke postupovali veľmi uvážlivo, rozpočet bol postavený na reálnych predpokladoch, čo dokumentujú dosiahnuté výsledky.</w:t>
      </w:r>
      <w:r w:rsidR="00A555A2" w:rsidRPr="000750E4">
        <w:rPr>
          <w:rFonts w:ascii="Times New Roman" w:hAnsi="Times New Roman" w:cs="Times New Roman"/>
          <w:b/>
          <w:bCs/>
        </w:rPr>
        <w:t xml:space="preserve"> Strategické rozhodnutia o priebežných zmenách rozpočtu </w:t>
      </w:r>
      <w:r w:rsidR="005E308B" w:rsidRPr="000750E4">
        <w:rPr>
          <w:rFonts w:ascii="Times New Roman" w:hAnsi="Times New Roman" w:cs="Times New Roman"/>
          <w:b/>
          <w:bCs/>
        </w:rPr>
        <w:t xml:space="preserve">svedčia o zodpovednom prístupe spracovateľa. </w:t>
      </w:r>
    </w:p>
    <w:p w:rsidR="00402D6C" w:rsidRPr="000750E4" w:rsidRDefault="00402D6C" w:rsidP="00320C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7D6AC5" w:rsidRPr="000750E4" w:rsidRDefault="00BB3AE6" w:rsidP="0050438F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 xml:space="preserve">Čerpanie kapitálových výdavkov </w:t>
      </w:r>
    </w:p>
    <w:p w:rsidR="00BB3AE6" w:rsidRPr="000750E4" w:rsidRDefault="00BB3AE6" w:rsidP="0050438F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BD751E" w:rsidRPr="000750E4" w:rsidRDefault="000A769B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  <w:r w:rsidRPr="000750E4">
        <w:rPr>
          <w:b/>
          <w:iCs/>
          <w:smallCaps/>
          <w:sz w:val="22"/>
          <w:szCs w:val="22"/>
        </w:rPr>
        <w:tab/>
      </w:r>
      <w:r w:rsidR="007D6AC5" w:rsidRPr="000750E4">
        <w:rPr>
          <w:iCs/>
          <w:sz w:val="22"/>
          <w:szCs w:val="22"/>
        </w:rPr>
        <w:t>Mesto</w:t>
      </w:r>
      <w:r w:rsidRPr="000750E4">
        <w:rPr>
          <w:iCs/>
          <w:sz w:val="22"/>
          <w:szCs w:val="22"/>
        </w:rPr>
        <w:t xml:space="preserve"> v priebehu roka upravovalo schválený rozpočet kapitálových</w:t>
      </w:r>
      <w:r w:rsidR="00E0323D" w:rsidRPr="000750E4">
        <w:rPr>
          <w:iCs/>
          <w:sz w:val="22"/>
          <w:szCs w:val="22"/>
        </w:rPr>
        <w:t xml:space="preserve"> výdavkov</w:t>
      </w:r>
      <w:r w:rsidRPr="000750E4">
        <w:rPr>
          <w:iCs/>
          <w:sz w:val="22"/>
          <w:szCs w:val="22"/>
        </w:rPr>
        <w:t xml:space="preserve"> z</w:t>
      </w:r>
      <w:r w:rsidR="00E0323D" w:rsidRPr="000750E4">
        <w:rPr>
          <w:iCs/>
          <w:sz w:val="22"/>
          <w:szCs w:val="22"/>
        </w:rPr>
        <w:t xml:space="preserve"> úrovne </w:t>
      </w:r>
      <w:r w:rsidR="00D66FBE">
        <w:rPr>
          <w:iCs/>
          <w:sz w:val="22"/>
          <w:szCs w:val="22"/>
        </w:rPr>
        <w:t xml:space="preserve">1.098.561€ (r.2018 1.451.017€, </w:t>
      </w:r>
      <w:r w:rsidR="00506296">
        <w:rPr>
          <w:iCs/>
          <w:sz w:val="22"/>
          <w:szCs w:val="22"/>
        </w:rPr>
        <w:t xml:space="preserve">r.2017 </w:t>
      </w:r>
      <w:r w:rsidR="00E0323D" w:rsidRPr="000750E4">
        <w:rPr>
          <w:iCs/>
          <w:sz w:val="22"/>
          <w:szCs w:val="22"/>
        </w:rPr>
        <w:t>1.143.417€</w:t>
      </w:r>
      <w:r w:rsidR="00506296">
        <w:rPr>
          <w:iCs/>
          <w:sz w:val="22"/>
          <w:szCs w:val="22"/>
        </w:rPr>
        <w:t xml:space="preserve">, </w:t>
      </w:r>
      <w:r w:rsidR="00E0323D" w:rsidRPr="000750E4">
        <w:rPr>
          <w:iCs/>
          <w:sz w:val="22"/>
          <w:szCs w:val="22"/>
        </w:rPr>
        <w:t xml:space="preserve">r.2016 </w:t>
      </w:r>
      <w:r w:rsidRPr="000750E4">
        <w:rPr>
          <w:iCs/>
          <w:sz w:val="22"/>
          <w:szCs w:val="22"/>
        </w:rPr>
        <w:t>918.611€</w:t>
      </w:r>
      <w:r w:rsidR="00E0323D" w:rsidRPr="000750E4">
        <w:rPr>
          <w:iCs/>
          <w:sz w:val="22"/>
          <w:szCs w:val="22"/>
        </w:rPr>
        <w:t xml:space="preserve">) </w:t>
      </w:r>
      <w:r w:rsidRPr="000750E4">
        <w:rPr>
          <w:iCs/>
          <w:sz w:val="22"/>
          <w:szCs w:val="22"/>
        </w:rPr>
        <w:t xml:space="preserve"> na</w:t>
      </w:r>
      <w:r w:rsidR="00E0323D" w:rsidRPr="000750E4">
        <w:rPr>
          <w:iCs/>
          <w:sz w:val="22"/>
          <w:szCs w:val="22"/>
        </w:rPr>
        <w:t xml:space="preserve"> úroveň </w:t>
      </w:r>
      <w:r w:rsidR="00D66FBE">
        <w:rPr>
          <w:iCs/>
          <w:sz w:val="22"/>
          <w:szCs w:val="22"/>
        </w:rPr>
        <w:t xml:space="preserve">3.430.956€ (r.2018 </w:t>
      </w:r>
      <w:r w:rsidR="00506296">
        <w:rPr>
          <w:iCs/>
          <w:sz w:val="22"/>
          <w:szCs w:val="22"/>
        </w:rPr>
        <w:t>2.</w:t>
      </w:r>
      <w:r w:rsidR="00D123C2">
        <w:rPr>
          <w:iCs/>
          <w:sz w:val="22"/>
          <w:szCs w:val="22"/>
        </w:rPr>
        <w:t>676</w:t>
      </w:r>
      <w:r w:rsidR="00506296">
        <w:rPr>
          <w:iCs/>
          <w:sz w:val="22"/>
          <w:szCs w:val="22"/>
        </w:rPr>
        <w:t>.</w:t>
      </w:r>
      <w:r w:rsidR="00D123C2">
        <w:rPr>
          <w:iCs/>
          <w:sz w:val="22"/>
          <w:szCs w:val="22"/>
        </w:rPr>
        <w:t>594</w:t>
      </w:r>
      <w:r w:rsidR="00D66FBE">
        <w:rPr>
          <w:iCs/>
          <w:sz w:val="22"/>
          <w:szCs w:val="22"/>
        </w:rPr>
        <w:t>€, r.</w:t>
      </w:r>
      <w:r w:rsidR="00D123C2">
        <w:rPr>
          <w:iCs/>
          <w:sz w:val="22"/>
          <w:szCs w:val="22"/>
        </w:rPr>
        <w:t xml:space="preserve">2017 </w:t>
      </w:r>
      <w:r w:rsidR="00E0323D" w:rsidRPr="000750E4">
        <w:rPr>
          <w:iCs/>
          <w:sz w:val="22"/>
          <w:szCs w:val="22"/>
        </w:rPr>
        <w:t>1.997.758</w:t>
      </w:r>
      <w:r w:rsidRPr="000750E4">
        <w:rPr>
          <w:iCs/>
          <w:sz w:val="22"/>
          <w:szCs w:val="22"/>
        </w:rPr>
        <w:t>€</w:t>
      </w:r>
      <w:r w:rsidR="00D123C2">
        <w:rPr>
          <w:iCs/>
          <w:sz w:val="22"/>
          <w:szCs w:val="22"/>
        </w:rPr>
        <w:t xml:space="preserve">, r.2016 3.096.571€). </w:t>
      </w:r>
      <w:r w:rsidR="008005C0">
        <w:rPr>
          <w:iCs/>
          <w:sz w:val="22"/>
          <w:szCs w:val="22"/>
        </w:rPr>
        <w:t xml:space="preserve">Návrh čerpania kapitálových výdavkov bol </w:t>
      </w:r>
      <w:r w:rsidR="00433754" w:rsidRPr="000750E4">
        <w:rPr>
          <w:iCs/>
          <w:sz w:val="22"/>
          <w:szCs w:val="22"/>
        </w:rPr>
        <w:t xml:space="preserve">vo výške </w:t>
      </w:r>
      <w:r w:rsidR="00D66FBE">
        <w:rPr>
          <w:iCs/>
          <w:sz w:val="22"/>
          <w:szCs w:val="22"/>
        </w:rPr>
        <w:t xml:space="preserve">3.530.956€ (r.2018 2.288.322€, </w:t>
      </w:r>
      <w:r w:rsidR="00D123C2">
        <w:rPr>
          <w:iCs/>
          <w:sz w:val="22"/>
          <w:szCs w:val="22"/>
        </w:rPr>
        <w:t xml:space="preserve">r.2017 </w:t>
      </w:r>
      <w:r w:rsidR="00E0323D" w:rsidRPr="000750E4">
        <w:rPr>
          <w:iCs/>
          <w:sz w:val="22"/>
          <w:szCs w:val="22"/>
        </w:rPr>
        <w:t>887.656</w:t>
      </w:r>
      <w:r w:rsidR="00552AAC" w:rsidRPr="000750E4">
        <w:rPr>
          <w:iCs/>
          <w:sz w:val="22"/>
          <w:szCs w:val="22"/>
        </w:rPr>
        <w:t>€</w:t>
      </w:r>
      <w:r w:rsidR="00D66FBE">
        <w:rPr>
          <w:iCs/>
          <w:sz w:val="22"/>
          <w:szCs w:val="22"/>
        </w:rPr>
        <w:t>, r.2016 2.367.616€)</w:t>
      </w:r>
      <w:r w:rsidR="00552AAC" w:rsidRPr="000750E4">
        <w:rPr>
          <w:iCs/>
          <w:sz w:val="22"/>
          <w:szCs w:val="22"/>
        </w:rPr>
        <w:t xml:space="preserve">. Mesto </w:t>
      </w:r>
      <w:r w:rsidR="007D6AC5" w:rsidRPr="000750E4">
        <w:rPr>
          <w:iCs/>
          <w:sz w:val="22"/>
          <w:szCs w:val="22"/>
        </w:rPr>
        <w:t>dosiahlo kapitál</w:t>
      </w:r>
      <w:r w:rsidR="00307E3A">
        <w:rPr>
          <w:iCs/>
          <w:sz w:val="22"/>
          <w:szCs w:val="22"/>
        </w:rPr>
        <w:t xml:space="preserve">ové príjmy vo výške </w:t>
      </w:r>
      <w:r w:rsidR="00D66FBE">
        <w:rPr>
          <w:iCs/>
          <w:sz w:val="22"/>
          <w:szCs w:val="22"/>
        </w:rPr>
        <w:t xml:space="preserve">948.340€ (r.2018 </w:t>
      </w:r>
      <w:r w:rsidR="00307E3A">
        <w:rPr>
          <w:iCs/>
          <w:sz w:val="22"/>
          <w:szCs w:val="22"/>
        </w:rPr>
        <w:t>911.434€</w:t>
      </w:r>
      <w:r w:rsidR="00D66FBE">
        <w:rPr>
          <w:iCs/>
          <w:sz w:val="22"/>
          <w:szCs w:val="22"/>
        </w:rPr>
        <w:t xml:space="preserve">, </w:t>
      </w:r>
      <w:r w:rsidR="00307E3A">
        <w:rPr>
          <w:iCs/>
          <w:sz w:val="22"/>
          <w:szCs w:val="22"/>
        </w:rPr>
        <w:t xml:space="preserve">r.2017 293.792€, </w:t>
      </w:r>
      <w:r w:rsidR="00E0323D" w:rsidRPr="000750E4">
        <w:rPr>
          <w:iCs/>
          <w:sz w:val="22"/>
          <w:szCs w:val="22"/>
        </w:rPr>
        <w:t xml:space="preserve">r.2016 1.439.248€, r.2015 </w:t>
      </w:r>
      <w:r w:rsidR="00566DE7" w:rsidRPr="000750E4">
        <w:rPr>
          <w:iCs/>
          <w:sz w:val="22"/>
          <w:szCs w:val="22"/>
        </w:rPr>
        <w:t>460.765</w:t>
      </w:r>
      <w:r w:rsidR="009D07A6" w:rsidRPr="000750E4">
        <w:rPr>
          <w:iCs/>
          <w:sz w:val="22"/>
          <w:szCs w:val="22"/>
        </w:rPr>
        <w:t>€</w:t>
      </w:r>
      <w:r w:rsidR="006D6A9A" w:rsidRPr="000750E4">
        <w:rPr>
          <w:iCs/>
          <w:sz w:val="22"/>
          <w:szCs w:val="22"/>
        </w:rPr>
        <w:t>)</w:t>
      </w:r>
      <w:r w:rsidR="009D07A6" w:rsidRPr="000750E4">
        <w:rPr>
          <w:iCs/>
          <w:sz w:val="22"/>
          <w:szCs w:val="22"/>
        </w:rPr>
        <w:t>, čo predstavuje plnenie vo výške</w:t>
      </w:r>
      <w:r w:rsidR="00D66FBE">
        <w:rPr>
          <w:iCs/>
          <w:sz w:val="22"/>
          <w:szCs w:val="22"/>
        </w:rPr>
        <w:t xml:space="preserve"> 6,01</w:t>
      </w:r>
      <w:r w:rsidR="001241A1">
        <w:rPr>
          <w:iCs/>
          <w:sz w:val="22"/>
          <w:szCs w:val="22"/>
        </w:rPr>
        <w:t>%</w:t>
      </w:r>
      <w:r w:rsidR="00D66FBE">
        <w:rPr>
          <w:iCs/>
          <w:sz w:val="22"/>
          <w:szCs w:val="22"/>
        </w:rPr>
        <w:t xml:space="preserve"> (r.2018</w:t>
      </w:r>
      <w:r w:rsidR="009D07A6" w:rsidRPr="000750E4">
        <w:rPr>
          <w:iCs/>
          <w:sz w:val="22"/>
          <w:szCs w:val="22"/>
        </w:rPr>
        <w:t xml:space="preserve"> </w:t>
      </w:r>
      <w:r w:rsidR="00A667BF">
        <w:rPr>
          <w:iCs/>
          <w:sz w:val="22"/>
          <w:szCs w:val="22"/>
        </w:rPr>
        <w:t>6,41%</w:t>
      </w:r>
      <w:r w:rsidR="00D66FBE">
        <w:rPr>
          <w:iCs/>
          <w:sz w:val="22"/>
          <w:szCs w:val="22"/>
        </w:rPr>
        <w:t xml:space="preserve">, </w:t>
      </w:r>
      <w:r w:rsidR="00A667BF" w:rsidRPr="00A667BF">
        <w:rPr>
          <w:iCs/>
          <w:sz w:val="22"/>
          <w:szCs w:val="22"/>
        </w:rPr>
        <w:t>r.2017 2,62%, r</w:t>
      </w:r>
      <w:r w:rsidR="00A667BF">
        <w:rPr>
          <w:iCs/>
          <w:sz w:val="22"/>
          <w:szCs w:val="22"/>
        </w:rPr>
        <w:t>.</w:t>
      </w:r>
      <w:r w:rsidR="00656B51" w:rsidRPr="000750E4">
        <w:rPr>
          <w:iCs/>
          <w:sz w:val="22"/>
          <w:szCs w:val="22"/>
        </w:rPr>
        <w:t xml:space="preserve">2016 </w:t>
      </w:r>
      <w:r w:rsidR="006D6A9A" w:rsidRPr="000750E4">
        <w:rPr>
          <w:iCs/>
          <w:sz w:val="22"/>
          <w:szCs w:val="22"/>
        </w:rPr>
        <w:t>11,66%</w:t>
      </w:r>
      <w:r w:rsidR="00656B51" w:rsidRPr="000750E4">
        <w:rPr>
          <w:iCs/>
          <w:sz w:val="22"/>
          <w:szCs w:val="22"/>
        </w:rPr>
        <w:t xml:space="preserve">, r. </w:t>
      </w:r>
      <w:r w:rsidR="006D6A9A" w:rsidRPr="000750E4">
        <w:rPr>
          <w:iCs/>
          <w:sz w:val="22"/>
          <w:szCs w:val="22"/>
        </w:rPr>
        <w:t xml:space="preserve">2015 </w:t>
      </w:r>
      <w:r w:rsidR="00566DE7" w:rsidRPr="000750E4">
        <w:rPr>
          <w:iCs/>
          <w:sz w:val="22"/>
          <w:szCs w:val="22"/>
        </w:rPr>
        <w:t>4</w:t>
      </w:r>
      <w:r w:rsidR="009D07A6" w:rsidRPr="000750E4">
        <w:rPr>
          <w:iCs/>
          <w:sz w:val="22"/>
          <w:szCs w:val="22"/>
        </w:rPr>
        <w:t>,</w:t>
      </w:r>
      <w:r w:rsidR="00566DE7" w:rsidRPr="000750E4">
        <w:rPr>
          <w:iCs/>
          <w:sz w:val="22"/>
          <w:szCs w:val="22"/>
        </w:rPr>
        <w:t>41</w:t>
      </w:r>
      <w:r w:rsidR="009D07A6" w:rsidRPr="000750E4">
        <w:rPr>
          <w:iCs/>
          <w:sz w:val="22"/>
          <w:szCs w:val="22"/>
        </w:rPr>
        <w:t>%</w:t>
      </w:r>
      <w:r w:rsidR="006D6A9A" w:rsidRPr="000750E4">
        <w:rPr>
          <w:iCs/>
          <w:sz w:val="22"/>
          <w:szCs w:val="22"/>
        </w:rPr>
        <w:t>)</w:t>
      </w:r>
      <w:r w:rsidR="009D07A6" w:rsidRPr="000750E4">
        <w:rPr>
          <w:iCs/>
          <w:sz w:val="22"/>
          <w:szCs w:val="22"/>
        </w:rPr>
        <w:t xml:space="preserve"> z celkových príjmov rozpočtu </w:t>
      </w:r>
      <w:r w:rsidR="007D6AC5" w:rsidRPr="000750E4">
        <w:rPr>
          <w:iCs/>
          <w:sz w:val="22"/>
          <w:szCs w:val="22"/>
        </w:rPr>
        <w:t xml:space="preserve">a kapitálové výdavky vo výške </w:t>
      </w:r>
      <w:r w:rsidR="00D66FBE">
        <w:rPr>
          <w:iCs/>
          <w:sz w:val="22"/>
          <w:szCs w:val="22"/>
        </w:rPr>
        <w:t xml:space="preserve">2.138.489€ (r.2018 2.288.322€, </w:t>
      </w:r>
      <w:r w:rsidR="00A667BF">
        <w:rPr>
          <w:iCs/>
          <w:sz w:val="22"/>
          <w:szCs w:val="22"/>
        </w:rPr>
        <w:t xml:space="preserve">r.2017 887.656€, </w:t>
      </w:r>
      <w:r w:rsidR="00656B51" w:rsidRPr="000750E4">
        <w:rPr>
          <w:iCs/>
          <w:sz w:val="22"/>
          <w:szCs w:val="22"/>
        </w:rPr>
        <w:t xml:space="preserve">r.2016 2.367.616€, r. </w:t>
      </w:r>
      <w:r w:rsidR="006D6A9A" w:rsidRPr="000750E4">
        <w:rPr>
          <w:iCs/>
          <w:sz w:val="22"/>
          <w:szCs w:val="22"/>
        </w:rPr>
        <w:t xml:space="preserve">2015 </w:t>
      </w:r>
      <w:r w:rsidR="00566DE7" w:rsidRPr="000750E4">
        <w:rPr>
          <w:iCs/>
          <w:sz w:val="22"/>
          <w:szCs w:val="22"/>
        </w:rPr>
        <w:t>1.638.309</w:t>
      </w:r>
      <w:r w:rsidR="007D6AC5" w:rsidRPr="000750E4">
        <w:rPr>
          <w:iCs/>
          <w:sz w:val="22"/>
          <w:szCs w:val="22"/>
        </w:rPr>
        <w:t>€</w:t>
      </w:r>
      <w:r w:rsidR="006D6A9A" w:rsidRPr="000750E4">
        <w:rPr>
          <w:iCs/>
          <w:sz w:val="22"/>
          <w:szCs w:val="22"/>
        </w:rPr>
        <w:t>)</w:t>
      </w:r>
      <w:r w:rsidR="007D6AC5" w:rsidRPr="000750E4">
        <w:rPr>
          <w:iCs/>
          <w:sz w:val="22"/>
          <w:szCs w:val="22"/>
        </w:rPr>
        <w:t>, čo predstavuje</w:t>
      </w:r>
      <w:r w:rsidR="009D07A6" w:rsidRPr="000750E4">
        <w:rPr>
          <w:iCs/>
          <w:sz w:val="22"/>
          <w:szCs w:val="22"/>
        </w:rPr>
        <w:t xml:space="preserve"> plnenie </w:t>
      </w:r>
      <w:r w:rsidR="00D66FBE">
        <w:rPr>
          <w:iCs/>
          <w:sz w:val="22"/>
          <w:szCs w:val="22"/>
        </w:rPr>
        <w:t xml:space="preserve">14,51%  (r.2018 </w:t>
      </w:r>
      <w:r w:rsidR="00A667BF">
        <w:rPr>
          <w:iCs/>
          <w:sz w:val="22"/>
          <w:szCs w:val="22"/>
        </w:rPr>
        <w:t xml:space="preserve">16,23% (r.2017 8,03%, </w:t>
      </w:r>
      <w:r w:rsidR="00656B51" w:rsidRPr="000750E4">
        <w:rPr>
          <w:iCs/>
          <w:sz w:val="22"/>
          <w:szCs w:val="22"/>
        </w:rPr>
        <w:t xml:space="preserve">r.2016 19,87%, </w:t>
      </w:r>
      <w:r w:rsidR="006D6A9A" w:rsidRPr="000750E4">
        <w:rPr>
          <w:iCs/>
          <w:sz w:val="22"/>
          <w:szCs w:val="22"/>
        </w:rPr>
        <w:t>r</w:t>
      </w:r>
      <w:r w:rsidR="00656B51" w:rsidRPr="000750E4">
        <w:rPr>
          <w:iCs/>
          <w:sz w:val="22"/>
          <w:szCs w:val="22"/>
        </w:rPr>
        <w:t>.</w:t>
      </w:r>
      <w:r w:rsidR="006D6A9A" w:rsidRPr="000750E4">
        <w:rPr>
          <w:iCs/>
          <w:sz w:val="22"/>
          <w:szCs w:val="22"/>
        </w:rPr>
        <w:t xml:space="preserve">2015 </w:t>
      </w:r>
      <w:r w:rsidR="009D07A6" w:rsidRPr="000750E4">
        <w:rPr>
          <w:iCs/>
          <w:sz w:val="22"/>
          <w:szCs w:val="22"/>
        </w:rPr>
        <w:t>1</w:t>
      </w:r>
      <w:r w:rsidR="00566DE7" w:rsidRPr="000750E4">
        <w:rPr>
          <w:iCs/>
          <w:sz w:val="22"/>
          <w:szCs w:val="22"/>
        </w:rPr>
        <w:t>6</w:t>
      </w:r>
      <w:r w:rsidR="009D07A6" w:rsidRPr="000750E4">
        <w:rPr>
          <w:iCs/>
          <w:sz w:val="22"/>
          <w:szCs w:val="22"/>
        </w:rPr>
        <w:t>,</w:t>
      </w:r>
      <w:r w:rsidR="00566DE7" w:rsidRPr="000750E4">
        <w:rPr>
          <w:iCs/>
          <w:sz w:val="22"/>
          <w:szCs w:val="22"/>
        </w:rPr>
        <w:t>36</w:t>
      </w:r>
      <w:r w:rsidR="009D07A6" w:rsidRPr="000750E4">
        <w:rPr>
          <w:iCs/>
          <w:sz w:val="22"/>
          <w:szCs w:val="22"/>
        </w:rPr>
        <w:t>%</w:t>
      </w:r>
      <w:r w:rsidR="006D6A9A" w:rsidRPr="000750E4">
        <w:rPr>
          <w:iCs/>
          <w:sz w:val="22"/>
          <w:szCs w:val="22"/>
        </w:rPr>
        <w:t>)</w:t>
      </w:r>
      <w:r w:rsidR="009D07A6" w:rsidRPr="000750E4">
        <w:rPr>
          <w:iCs/>
          <w:sz w:val="22"/>
          <w:szCs w:val="22"/>
        </w:rPr>
        <w:t xml:space="preserve"> z celkových </w:t>
      </w:r>
      <w:r w:rsidR="00A35A9B" w:rsidRPr="000750E4">
        <w:rPr>
          <w:iCs/>
          <w:sz w:val="22"/>
          <w:szCs w:val="22"/>
        </w:rPr>
        <w:t xml:space="preserve">výdavkov rozpočtu. </w:t>
      </w:r>
      <w:r w:rsidR="0059137D" w:rsidRPr="000750E4">
        <w:rPr>
          <w:b/>
          <w:iCs/>
          <w:sz w:val="22"/>
          <w:szCs w:val="22"/>
        </w:rPr>
        <w:t>Kapitálová časť rozpočtu mesta zaznamenala schodok vo výške</w:t>
      </w:r>
      <w:r w:rsidR="00656B51" w:rsidRPr="000750E4">
        <w:rPr>
          <w:b/>
          <w:iCs/>
          <w:sz w:val="22"/>
          <w:szCs w:val="22"/>
        </w:rPr>
        <w:t xml:space="preserve"> </w:t>
      </w:r>
      <w:r w:rsidR="00D66FBE">
        <w:rPr>
          <w:b/>
          <w:iCs/>
          <w:sz w:val="22"/>
          <w:szCs w:val="22"/>
        </w:rPr>
        <w:t xml:space="preserve">1.190.149€ (r.2018 1.376.888€, </w:t>
      </w:r>
      <w:r w:rsidR="00944E40">
        <w:rPr>
          <w:b/>
          <w:iCs/>
          <w:sz w:val="22"/>
          <w:szCs w:val="22"/>
        </w:rPr>
        <w:t xml:space="preserve">r.2017 </w:t>
      </w:r>
      <w:r w:rsidR="00656B51" w:rsidRPr="000750E4">
        <w:rPr>
          <w:b/>
          <w:iCs/>
          <w:sz w:val="22"/>
          <w:szCs w:val="22"/>
        </w:rPr>
        <w:t>593.864€</w:t>
      </w:r>
      <w:r w:rsidR="00944E40">
        <w:rPr>
          <w:b/>
          <w:iCs/>
          <w:sz w:val="22"/>
          <w:szCs w:val="22"/>
        </w:rPr>
        <w:t xml:space="preserve">, </w:t>
      </w:r>
      <w:r w:rsidR="00656B51" w:rsidRPr="000750E4">
        <w:rPr>
          <w:b/>
          <w:iCs/>
          <w:sz w:val="22"/>
          <w:szCs w:val="22"/>
        </w:rPr>
        <w:t xml:space="preserve">r. 2016 </w:t>
      </w:r>
      <w:r w:rsidR="007D7DB0" w:rsidRPr="000750E4">
        <w:rPr>
          <w:b/>
          <w:iCs/>
          <w:sz w:val="22"/>
          <w:szCs w:val="22"/>
        </w:rPr>
        <w:t>928.836€</w:t>
      </w:r>
      <w:r w:rsidR="00656B51" w:rsidRPr="000750E4">
        <w:rPr>
          <w:b/>
          <w:iCs/>
          <w:sz w:val="22"/>
          <w:szCs w:val="22"/>
        </w:rPr>
        <w:t>, r.</w:t>
      </w:r>
      <w:r w:rsidR="007D7DB0" w:rsidRPr="000750E4">
        <w:rPr>
          <w:b/>
          <w:iCs/>
          <w:sz w:val="22"/>
          <w:szCs w:val="22"/>
        </w:rPr>
        <w:t xml:space="preserve">2015 </w:t>
      </w:r>
      <w:r w:rsidR="00566DE7" w:rsidRPr="000750E4">
        <w:rPr>
          <w:b/>
          <w:iCs/>
          <w:sz w:val="22"/>
          <w:szCs w:val="22"/>
        </w:rPr>
        <w:t>1.177.544</w:t>
      </w:r>
      <w:r w:rsidR="0059137D" w:rsidRPr="000750E4">
        <w:rPr>
          <w:b/>
          <w:iCs/>
          <w:sz w:val="22"/>
          <w:szCs w:val="22"/>
        </w:rPr>
        <w:t>€</w:t>
      </w:r>
      <w:r w:rsidR="007D7DB0" w:rsidRPr="000750E4">
        <w:rPr>
          <w:b/>
          <w:iCs/>
          <w:sz w:val="22"/>
          <w:szCs w:val="22"/>
        </w:rPr>
        <w:t>)</w:t>
      </w:r>
      <w:r w:rsidR="0059137D" w:rsidRPr="000750E4">
        <w:rPr>
          <w:b/>
          <w:iCs/>
          <w:sz w:val="22"/>
          <w:szCs w:val="22"/>
        </w:rPr>
        <w:t>.</w:t>
      </w:r>
      <w:r w:rsidR="0059137D" w:rsidRPr="000750E4">
        <w:rPr>
          <w:iCs/>
          <w:sz w:val="22"/>
          <w:szCs w:val="22"/>
        </w:rPr>
        <w:t xml:space="preserve"> </w:t>
      </w:r>
    </w:p>
    <w:p w:rsidR="00BD751E" w:rsidRPr="000750E4" w:rsidRDefault="00BD751E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</w:p>
    <w:p w:rsidR="009D6B35" w:rsidRPr="000750E4" w:rsidRDefault="00BD751E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</w:r>
      <w:r w:rsidR="0027041C" w:rsidRPr="000750E4">
        <w:rPr>
          <w:iCs/>
          <w:sz w:val="22"/>
          <w:szCs w:val="22"/>
        </w:rPr>
        <w:t>K</w:t>
      </w:r>
      <w:r w:rsidR="0059137D" w:rsidRPr="000750E4">
        <w:rPr>
          <w:iCs/>
          <w:sz w:val="22"/>
          <w:szCs w:val="22"/>
        </w:rPr>
        <w:t>apitálové výdavky</w:t>
      </w:r>
      <w:r w:rsidR="0027041C" w:rsidRPr="000750E4">
        <w:rPr>
          <w:iCs/>
          <w:sz w:val="22"/>
          <w:szCs w:val="22"/>
        </w:rPr>
        <w:t xml:space="preserve"> boli kryté príjmami z </w:t>
      </w:r>
      <w:r w:rsidR="005523EA" w:rsidRPr="000750E4">
        <w:rPr>
          <w:iCs/>
          <w:sz w:val="22"/>
          <w:szCs w:val="22"/>
        </w:rPr>
        <w:t>predaja z pozemkov a budov,</w:t>
      </w:r>
      <w:r w:rsidR="0027041C" w:rsidRPr="000750E4">
        <w:rPr>
          <w:iCs/>
          <w:sz w:val="22"/>
          <w:szCs w:val="22"/>
        </w:rPr>
        <w:t xml:space="preserve"> prostredníctvom grantov a projektov z EÚ a ŠR, následne </w:t>
      </w:r>
      <w:r w:rsidR="005523EA" w:rsidRPr="000750E4">
        <w:rPr>
          <w:iCs/>
          <w:sz w:val="22"/>
          <w:szCs w:val="22"/>
        </w:rPr>
        <w:t xml:space="preserve"> </w:t>
      </w:r>
      <w:r w:rsidR="00566DE7" w:rsidRPr="000750E4">
        <w:rPr>
          <w:iCs/>
          <w:sz w:val="22"/>
          <w:szCs w:val="22"/>
        </w:rPr>
        <w:t>prostredníctvom f</w:t>
      </w:r>
      <w:r w:rsidR="0027041C" w:rsidRPr="000750E4">
        <w:rPr>
          <w:iCs/>
          <w:sz w:val="22"/>
          <w:szCs w:val="22"/>
        </w:rPr>
        <w:t>inančných operácií príjmových boli použité na</w:t>
      </w:r>
      <w:r w:rsidR="009D6B35" w:rsidRPr="000750E4">
        <w:rPr>
          <w:iCs/>
          <w:sz w:val="22"/>
          <w:szCs w:val="22"/>
        </w:rPr>
        <w:t xml:space="preserve"> kapitálový transfer na nákup </w:t>
      </w:r>
      <w:r w:rsidR="003E34A1">
        <w:rPr>
          <w:iCs/>
          <w:sz w:val="22"/>
          <w:szCs w:val="22"/>
        </w:rPr>
        <w:t xml:space="preserve">softwaru, </w:t>
      </w:r>
      <w:proofErr w:type="spellStart"/>
      <w:r w:rsidR="003E34A1">
        <w:rPr>
          <w:iCs/>
          <w:sz w:val="22"/>
          <w:szCs w:val="22"/>
        </w:rPr>
        <w:t>mobiliáru</w:t>
      </w:r>
      <w:proofErr w:type="spellEnd"/>
      <w:r w:rsidR="003E34A1">
        <w:rPr>
          <w:iCs/>
          <w:sz w:val="22"/>
          <w:szCs w:val="22"/>
        </w:rPr>
        <w:t xml:space="preserve">, elektromobilu, čistiacej techniky pre VPS, prípravnej a projektovej dokumentácie, realizáciu nových stavieb, rekonštrukciu a modernizáciu majetku – budovanie prístupovej komunikácie k štadiónu, budovanie nových parkovísk Za vodou, Lipová ulica, Dom kultúry, komplexná obnova ZÚŠ, pasáže, rozvojový program mesta, kapitálový </w:t>
      </w:r>
      <w:r w:rsidR="003E34A1">
        <w:rPr>
          <w:iCs/>
          <w:sz w:val="22"/>
          <w:szCs w:val="22"/>
        </w:rPr>
        <w:lastRenderedPageBreak/>
        <w:t xml:space="preserve">transfer školstva, nákup pozemkov, (r.2018 </w:t>
      </w:r>
      <w:r w:rsidR="00944E40">
        <w:rPr>
          <w:iCs/>
          <w:sz w:val="22"/>
          <w:szCs w:val="22"/>
        </w:rPr>
        <w:t xml:space="preserve">kancelárskeho kontajnera, kopírovacieho stroja, interiérového vybavenia, rozkladacieho stanu, výpočtovej techniky, technickej základne kultúrneho domu, informačnej tabule, elektromobilu, dobudovania cyklotrasy, obstarania technickej infraštruktúry, parkovísk, detského ihriska, </w:t>
      </w:r>
      <w:proofErr w:type="spellStart"/>
      <w:r w:rsidR="00944E40">
        <w:rPr>
          <w:iCs/>
          <w:sz w:val="22"/>
          <w:szCs w:val="22"/>
        </w:rPr>
        <w:t>relaxačno</w:t>
      </w:r>
      <w:proofErr w:type="spellEnd"/>
      <w:r w:rsidR="00944E40">
        <w:rPr>
          <w:iCs/>
          <w:sz w:val="22"/>
          <w:szCs w:val="22"/>
        </w:rPr>
        <w:t xml:space="preserve"> – pohybovej miestnosti, obnovy ZÚŠ, pasáže, budovy na Nám. sv. Mikuláša č.5, rekonštrukcie domu kultúry, spolufinancovanie stavby – juhovýchodný obchvat, ozvučenie športovej haly, obstaranie klavíra, škrabky pre jedáleň, lanovej pyramídy, odstránenie havarijného stavu kotolní, výkup pozemkov</w:t>
      </w:r>
      <w:r w:rsidR="003E34A1">
        <w:rPr>
          <w:iCs/>
          <w:sz w:val="22"/>
          <w:szCs w:val="22"/>
        </w:rPr>
        <w:t xml:space="preserve">). </w:t>
      </w:r>
    </w:p>
    <w:p w:rsidR="005523EA" w:rsidRPr="000750E4" w:rsidRDefault="005523EA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</w:p>
    <w:p w:rsidR="008544BE" w:rsidRPr="000750E4" w:rsidRDefault="008544BE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</w:r>
      <w:r w:rsidR="005523EA" w:rsidRPr="000750E4">
        <w:rPr>
          <w:iCs/>
          <w:sz w:val="22"/>
          <w:szCs w:val="22"/>
        </w:rPr>
        <w:t xml:space="preserve">Čerpanie </w:t>
      </w:r>
      <w:r w:rsidR="009D6B35" w:rsidRPr="000750E4">
        <w:rPr>
          <w:iCs/>
          <w:sz w:val="22"/>
          <w:szCs w:val="22"/>
        </w:rPr>
        <w:t xml:space="preserve">v </w:t>
      </w:r>
      <w:r w:rsidR="005523EA" w:rsidRPr="000750E4">
        <w:rPr>
          <w:iCs/>
          <w:sz w:val="22"/>
          <w:szCs w:val="22"/>
        </w:rPr>
        <w:t xml:space="preserve">jednotlivých investičných programov je v návrhu </w:t>
      </w:r>
      <w:r w:rsidR="008050A6">
        <w:rPr>
          <w:iCs/>
          <w:sz w:val="22"/>
          <w:szCs w:val="22"/>
        </w:rPr>
        <w:t>„</w:t>
      </w:r>
      <w:r w:rsidR="005523EA" w:rsidRPr="000750E4">
        <w:rPr>
          <w:iCs/>
          <w:sz w:val="22"/>
          <w:szCs w:val="22"/>
        </w:rPr>
        <w:t>Záverečného účtu</w:t>
      </w:r>
      <w:r w:rsidR="008050A6">
        <w:rPr>
          <w:iCs/>
          <w:sz w:val="22"/>
          <w:szCs w:val="22"/>
        </w:rPr>
        <w:t>“</w:t>
      </w:r>
      <w:r w:rsidR="005523EA" w:rsidRPr="000750E4">
        <w:rPr>
          <w:iCs/>
          <w:sz w:val="22"/>
          <w:szCs w:val="22"/>
        </w:rPr>
        <w:t xml:space="preserve"> podrobne komentované</w:t>
      </w:r>
      <w:r w:rsidR="00AD2B76">
        <w:rPr>
          <w:iCs/>
          <w:sz w:val="22"/>
          <w:szCs w:val="22"/>
        </w:rPr>
        <w:t xml:space="preserve"> od str. 47-49</w:t>
      </w:r>
      <w:r w:rsidR="005523EA" w:rsidRPr="000750E4">
        <w:rPr>
          <w:iCs/>
          <w:sz w:val="22"/>
          <w:szCs w:val="22"/>
        </w:rPr>
        <w:t>. Čerpanie kapitálových výdavkov, t.z. realizácia plánovaných rozvojových programov, je závislé od zdrojov, ktorými sú v súčasnosti najmä kapitálové transfery z r</w:t>
      </w:r>
      <w:r w:rsidR="008231A8">
        <w:rPr>
          <w:iCs/>
          <w:sz w:val="22"/>
          <w:szCs w:val="22"/>
        </w:rPr>
        <w:t xml:space="preserve">ozpočtu EÚ a štátneho rozpočtu, vlastné kapitálové príjmy z predaja majetku. </w:t>
      </w:r>
      <w:r w:rsidR="005523EA" w:rsidRPr="000750E4">
        <w:rPr>
          <w:iCs/>
          <w:sz w:val="22"/>
          <w:szCs w:val="22"/>
        </w:rPr>
        <w:t>K vlastným zdrojom v priebehu rozpočtovaného roka patrí najmä prebytok bežného rozpočtu a po skončení rozpočtovaného roka vytvorené vlastné zdroje v peňažných fondoch.</w:t>
      </w:r>
    </w:p>
    <w:p w:rsidR="005523EA" w:rsidRPr="000750E4" w:rsidRDefault="005523EA" w:rsidP="00320C0E">
      <w:pPr>
        <w:pStyle w:val="Default"/>
        <w:spacing w:line="276" w:lineRule="auto"/>
        <w:jc w:val="both"/>
        <w:rPr>
          <w:iCs/>
          <w:sz w:val="22"/>
          <w:szCs w:val="22"/>
        </w:rPr>
      </w:pPr>
    </w:p>
    <w:p w:rsidR="009D07A6" w:rsidRPr="005E14D3" w:rsidRDefault="008544BE" w:rsidP="000F099D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</w:r>
      <w:r w:rsidR="005E14D3" w:rsidRPr="005E14D3">
        <w:rPr>
          <w:b/>
          <w:iCs/>
          <w:sz w:val="22"/>
          <w:szCs w:val="22"/>
        </w:rPr>
        <w:t xml:space="preserve">Negatívom </w:t>
      </w:r>
      <w:r w:rsidR="008231A8" w:rsidRPr="005E14D3">
        <w:rPr>
          <w:b/>
          <w:iCs/>
          <w:sz w:val="22"/>
          <w:szCs w:val="22"/>
        </w:rPr>
        <w:t xml:space="preserve">bolo </w:t>
      </w:r>
      <w:r w:rsidR="005E14D3" w:rsidRPr="005E14D3">
        <w:rPr>
          <w:b/>
          <w:iCs/>
          <w:sz w:val="22"/>
          <w:szCs w:val="22"/>
        </w:rPr>
        <w:t>zníženie</w:t>
      </w:r>
      <w:r w:rsidR="008231A8" w:rsidRPr="005E14D3">
        <w:rPr>
          <w:b/>
          <w:iCs/>
          <w:sz w:val="22"/>
          <w:szCs w:val="22"/>
        </w:rPr>
        <w:t xml:space="preserve"> podielu kapitálových výdavkov na celkových </w:t>
      </w:r>
      <w:r w:rsidR="008050A6" w:rsidRPr="005E14D3">
        <w:rPr>
          <w:b/>
          <w:iCs/>
          <w:sz w:val="22"/>
          <w:szCs w:val="22"/>
        </w:rPr>
        <w:t xml:space="preserve">výdavkoch </w:t>
      </w:r>
      <w:r w:rsidR="008231A8" w:rsidRPr="005E14D3">
        <w:rPr>
          <w:b/>
          <w:iCs/>
          <w:sz w:val="22"/>
          <w:szCs w:val="22"/>
        </w:rPr>
        <w:t xml:space="preserve">rozpočtu. </w:t>
      </w:r>
    </w:p>
    <w:p w:rsidR="00931B09" w:rsidRDefault="00931B09" w:rsidP="0050438F">
      <w:pPr>
        <w:pStyle w:val="Default"/>
        <w:jc w:val="both"/>
        <w:rPr>
          <w:b/>
          <w:bCs/>
          <w:sz w:val="22"/>
          <w:szCs w:val="22"/>
        </w:rPr>
      </w:pPr>
    </w:p>
    <w:p w:rsidR="00CD6E42" w:rsidRPr="000750E4" w:rsidRDefault="00CD6E42" w:rsidP="0050438F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936DA" w:rsidRPr="000750E4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0750E4">
        <w:rPr>
          <w:b/>
          <w:iCs/>
          <w:smallCaps/>
          <w:sz w:val="26"/>
          <w:szCs w:val="26"/>
        </w:rPr>
        <w:t xml:space="preserve">Finančné operácie </w:t>
      </w:r>
    </w:p>
    <w:p w:rsidR="00A35A9B" w:rsidRPr="000750E4" w:rsidRDefault="00A35A9B" w:rsidP="0050438F">
      <w:pPr>
        <w:pStyle w:val="Default"/>
        <w:jc w:val="both"/>
        <w:rPr>
          <w:sz w:val="22"/>
          <w:szCs w:val="22"/>
        </w:rPr>
      </w:pPr>
    </w:p>
    <w:p w:rsidR="00A35A9B" w:rsidRPr="000750E4" w:rsidRDefault="00A35A9B" w:rsidP="00A35A9B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Súčasťou </w:t>
      </w:r>
      <w:r w:rsidR="008050A6">
        <w:rPr>
          <w:sz w:val="22"/>
          <w:szCs w:val="22"/>
        </w:rPr>
        <w:t>rozpočtu a zúčtovania</w:t>
      </w:r>
      <w:r w:rsidRPr="000750E4">
        <w:rPr>
          <w:sz w:val="22"/>
          <w:szCs w:val="22"/>
        </w:rPr>
        <w:t xml:space="preserve"> sú aj finančné operácie, ktorými sa vykonávajú prevody z peňažných fondov a realizujú sa návratné zdroje financovania a ich splácanie. Za finančné operácie sa považujú aj poskytnuté pôžičky a návratné finančné výpomoci z rozpočtu a ich splátky, vystavené a prijaté zmenky, predaj a obstaranie majetkových účastí.</w:t>
      </w:r>
      <w:r w:rsidR="000F302C" w:rsidRPr="000750E4">
        <w:rPr>
          <w:sz w:val="22"/>
          <w:szCs w:val="22"/>
        </w:rPr>
        <w:t xml:space="preserve"> </w:t>
      </w:r>
    </w:p>
    <w:p w:rsidR="00A35A9B" w:rsidRPr="000750E4" w:rsidRDefault="00A35A9B" w:rsidP="00A35A9B">
      <w:pPr>
        <w:pStyle w:val="Default"/>
        <w:ind w:firstLine="708"/>
        <w:jc w:val="both"/>
        <w:rPr>
          <w:sz w:val="22"/>
          <w:szCs w:val="22"/>
        </w:rPr>
      </w:pPr>
    </w:p>
    <w:p w:rsidR="00C36476" w:rsidRPr="00DD26F9" w:rsidRDefault="00C36476" w:rsidP="00A35A9B">
      <w:pPr>
        <w:pStyle w:val="Default"/>
        <w:ind w:firstLine="708"/>
        <w:jc w:val="both"/>
        <w:rPr>
          <w:sz w:val="23"/>
          <w:szCs w:val="23"/>
        </w:rPr>
      </w:pPr>
      <w:r w:rsidRPr="000750E4">
        <w:rPr>
          <w:sz w:val="22"/>
          <w:szCs w:val="22"/>
        </w:rPr>
        <w:t>Plnenie finančných operácií v roku 201</w:t>
      </w:r>
      <w:r w:rsidR="0027041C" w:rsidRPr="000750E4">
        <w:rPr>
          <w:sz w:val="22"/>
          <w:szCs w:val="22"/>
        </w:rPr>
        <w:t>7</w:t>
      </w:r>
      <w:r w:rsidR="00441208"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DD26F9">
        <w:rPr>
          <w:sz w:val="18"/>
          <w:szCs w:val="18"/>
        </w:rPr>
        <w:t>v </w:t>
      </w:r>
      <w:r w:rsidR="00DD26F9" w:rsidRPr="009E46F1">
        <w:rPr>
          <w:sz w:val="18"/>
          <w:szCs w:val="18"/>
        </w:rPr>
        <w:t>Eur</w:t>
      </w:r>
      <w:r w:rsidR="00DD26F9">
        <w:rPr>
          <w:sz w:val="18"/>
          <w:szCs w:val="18"/>
        </w:rPr>
        <w:tab/>
      </w:r>
      <w:r w:rsidR="00D61EFD" w:rsidRPr="00D61EFD">
        <w:rPr>
          <w:sz w:val="18"/>
          <w:szCs w:val="18"/>
        </w:rPr>
        <w:t>t</w:t>
      </w:r>
      <w:r w:rsidRPr="00D61EFD">
        <w:rPr>
          <w:sz w:val="18"/>
          <w:szCs w:val="18"/>
        </w:rPr>
        <w:t>ab</w:t>
      </w:r>
      <w:r w:rsidR="001736D6">
        <w:rPr>
          <w:sz w:val="18"/>
          <w:szCs w:val="18"/>
        </w:rPr>
        <w:t>. č. 7</w:t>
      </w:r>
      <w:r w:rsidRPr="00D61EFD">
        <w:rPr>
          <w:sz w:val="18"/>
          <w:szCs w:val="18"/>
        </w:rPr>
        <w:t xml:space="preserve"> </w:t>
      </w:r>
    </w:p>
    <w:tbl>
      <w:tblPr>
        <w:tblStyle w:val="Obyajntabuka1"/>
        <w:tblW w:w="9062" w:type="dxa"/>
        <w:tblLook w:val="04A0" w:firstRow="1" w:lastRow="0" w:firstColumn="1" w:lastColumn="0" w:noHBand="0" w:noVBand="1"/>
      </w:tblPr>
      <w:tblGrid>
        <w:gridCol w:w="1196"/>
        <w:gridCol w:w="1095"/>
        <w:gridCol w:w="1095"/>
        <w:gridCol w:w="943"/>
        <w:gridCol w:w="1085"/>
        <w:gridCol w:w="1204"/>
        <w:gridCol w:w="1342"/>
        <w:gridCol w:w="1102"/>
      </w:tblGrid>
      <w:tr w:rsidR="001C1F82" w:rsidRPr="00441208" w:rsidTr="001C1F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6" w:type="dxa"/>
            <w:hideMark/>
          </w:tcPr>
          <w:p w:rsidR="001C1F82" w:rsidRPr="00CE749D" w:rsidRDefault="001C1F82" w:rsidP="001C1F82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CE749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>Finančné operácie</w:t>
            </w:r>
          </w:p>
        </w:tc>
        <w:tc>
          <w:tcPr>
            <w:tcW w:w="1095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Rozpočet</w:t>
            </w:r>
          </w:p>
        </w:tc>
        <w:tc>
          <w:tcPr>
            <w:tcW w:w="1095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Rozpočet I. zmena </w:t>
            </w:r>
          </w:p>
        </w:tc>
        <w:tc>
          <w:tcPr>
            <w:tcW w:w="943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Rozpočet II. zmena </w:t>
            </w:r>
          </w:p>
        </w:tc>
        <w:tc>
          <w:tcPr>
            <w:tcW w:w="1085" w:type="dxa"/>
          </w:tcPr>
          <w:p w:rsidR="001C1F82" w:rsidRPr="00CE749D" w:rsidRDefault="001C1F82" w:rsidP="00EF1B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Rozpočet </w:t>
            </w:r>
          </w:p>
        </w:tc>
        <w:tc>
          <w:tcPr>
            <w:tcW w:w="1204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k 31.12.2019</w:t>
            </w:r>
          </w:p>
        </w:tc>
        <w:tc>
          <w:tcPr>
            <w:tcW w:w="1342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% plnenia (S/RII*100)</w:t>
            </w:r>
          </w:p>
        </w:tc>
        <w:tc>
          <w:tcPr>
            <w:tcW w:w="1102" w:type="dxa"/>
            <w:hideMark/>
          </w:tcPr>
          <w:p w:rsidR="001C1F82" w:rsidRPr="00CE749D" w:rsidRDefault="001C1F82" w:rsidP="001C1F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Skutočnosť k 31.12.2018</w:t>
            </w:r>
          </w:p>
        </w:tc>
      </w:tr>
      <w:tr w:rsidR="001C1F82" w:rsidRPr="00441208" w:rsidTr="001C1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6" w:type="dxa"/>
            <w:hideMark/>
          </w:tcPr>
          <w:p w:rsidR="001C1F82" w:rsidRPr="00CE749D" w:rsidRDefault="001C1F82" w:rsidP="001C1F82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CE749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príjmové </w:t>
            </w:r>
          </w:p>
        </w:tc>
        <w:tc>
          <w:tcPr>
            <w:tcW w:w="1095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234 782   </w:t>
            </w:r>
          </w:p>
        </w:tc>
        <w:tc>
          <w:tcPr>
            <w:tcW w:w="1095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1 734 960   </w:t>
            </w:r>
          </w:p>
        </w:tc>
        <w:tc>
          <w:tcPr>
            <w:tcW w:w="943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1 734 960   </w:t>
            </w:r>
          </w:p>
        </w:tc>
        <w:tc>
          <w:tcPr>
            <w:tcW w:w="1085" w:type="dxa"/>
            <w:vAlign w:val="center"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1 7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917</w:t>
            </w: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204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1 345 853</w:t>
            </w:r>
          </w:p>
        </w:tc>
        <w:tc>
          <w:tcPr>
            <w:tcW w:w="1342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77,57</w:t>
            </w:r>
          </w:p>
        </w:tc>
        <w:tc>
          <w:tcPr>
            <w:tcW w:w="1102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1 259 943</w:t>
            </w:r>
          </w:p>
        </w:tc>
      </w:tr>
      <w:tr w:rsidR="001C1F82" w:rsidRPr="00441208" w:rsidTr="001C1F8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6" w:type="dxa"/>
            <w:hideMark/>
          </w:tcPr>
          <w:p w:rsidR="001C1F82" w:rsidRPr="00CE749D" w:rsidRDefault="001C1F82" w:rsidP="001C1F82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</w:pPr>
            <w:r w:rsidRPr="00CE749D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  <w:lang w:eastAsia="sk-SK"/>
              </w:rPr>
              <w:t xml:space="preserve">výdavkové </w:t>
            </w:r>
          </w:p>
        </w:tc>
        <w:tc>
          <w:tcPr>
            <w:tcW w:w="1095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1095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943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1085" w:type="dxa"/>
            <w:vAlign w:val="center"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1204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439 015</w:t>
            </w:r>
          </w:p>
        </w:tc>
        <w:tc>
          <w:tcPr>
            <w:tcW w:w="1342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113,96</w:t>
            </w:r>
          </w:p>
        </w:tc>
        <w:tc>
          <w:tcPr>
            <w:tcW w:w="1102" w:type="dxa"/>
            <w:vAlign w:val="center"/>
            <w:hideMark/>
          </w:tcPr>
          <w:p w:rsidR="001C1F82" w:rsidRPr="00CE749D" w:rsidRDefault="001C1F82" w:rsidP="001C1F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E749D">
              <w:rPr>
                <w:rFonts w:ascii="Times New Roman" w:hAnsi="Times New Roman" w:cs="Times New Roman"/>
                <w:sz w:val="16"/>
                <w:szCs w:val="16"/>
              </w:rPr>
              <w:t>454 840</w:t>
            </w:r>
          </w:p>
        </w:tc>
      </w:tr>
    </w:tbl>
    <w:p w:rsidR="00931B09" w:rsidRPr="00D61EFD" w:rsidRDefault="00931B09" w:rsidP="00A35A9B">
      <w:pPr>
        <w:pStyle w:val="Default"/>
        <w:ind w:firstLine="708"/>
        <w:jc w:val="both"/>
        <w:rPr>
          <w:sz w:val="18"/>
          <w:szCs w:val="18"/>
        </w:rPr>
      </w:pPr>
    </w:p>
    <w:p w:rsidR="009E46F1" w:rsidRPr="000750E4" w:rsidRDefault="00155DC1" w:rsidP="00155DC1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>Príjmové finančné operácie</w:t>
      </w:r>
    </w:p>
    <w:p w:rsidR="003E5D9C" w:rsidRPr="000750E4" w:rsidRDefault="00155DC1" w:rsidP="00155DC1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ab/>
      </w:r>
    </w:p>
    <w:p w:rsidR="004938E5" w:rsidRPr="000750E4" w:rsidRDefault="00155DC1" w:rsidP="00155DC1">
      <w:pPr>
        <w:pStyle w:val="Default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Prostredníctvom príjmových finančných operácií sa zapojili do rozpočtu : </w:t>
      </w:r>
    </w:p>
    <w:p w:rsidR="00155DC1" w:rsidRDefault="00155DC1" w:rsidP="00155DC1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príjmy z nájomné</w:t>
      </w:r>
      <w:r w:rsidR="002D5945">
        <w:rPr>
          <w:iCs/>
          <w:sz w:val="22"/>
          <w:szCs w:val="22"/>
        </w:rPr>
        <w:t>ho</w:t>
      </w:r>
      <w:r w:rsidRPr="000750E4">
        <w:rPr>
          <w:iCs/>
          <w:sz w:val="22"/>
          <w:szCs w:val="22"/>
        </w:rPr>
        <w:t xml:space="preserve"> za nájomné byty, </w:t>
      </w:r>
    </w:p>
    <w:p w:rsidR="00CE749D" w:rsidRDefault="00CE749D" w:rsidP="00CE749D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finančné zábezpeky pri verejných obstarávaniach, </w:t>
      </w:r>
    </w:p>
    <w:p w:rsidR="00CE749D" w:rsidRPr="00CE749D" w:rsidRDefault="00CE749D" w:rsidP="00CE749D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iné príjmové finančné operácie – zostatky finančných prostriedkov škôl z r.2018, </w:t>
      </w:r>
    </w:p>
    <w:p w:rsidR="004938E5" w:rsidRDefault="004938E5" w:rsidP="00155DC1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prevod prostriedkov rezervného fondu a fondu rozvoja, </w:t>
      </w:r>
    </w:p>
    <w:p w:rsidR="00441208" w:rsidRPr="000750E4" w:rsidRDefault="004938E5" w:rsidP="00926562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dlhodobý kapitálový úver (krytie kapitálových výdavkov </w:t>
      </w:r>
      <w:r w:rsidR="00CE749D">
        <w:rPr>
          <w:iCs/>
          <w:sz w:val="22"/>
          <w:szCs w:val="22"/>
        </w:rPr>
        <w:t>RPM mesta</w:t>
      </w:r>
      <w:r>
        <w:rPr>
          <w:iCs/>
          <w:sz w:val="22"/>
          <w:szCs w:val="22"/>
        </w:rPr>
        <w:t>)</w:t>
      </w:r>
      <w:r w:rsidR="00441208" w:rsidRPr="000750E4">
        <w:rPr>
          <w:iCs/>
          <w:sz w:val="22"/>
          <w:szCs w:val="22"/>
        </w:rPr>
        <w:t xml:space="preserve">, </w:t>
      </w:r>
    </w:p>
    <w:p w:rsidR="00441208" w:rsidRPr="000750E4" w:rsidRDefault="00441208" w:rsidP="003E5D9C">
      <w:pPr>
        <w:pStyle w:val="Default"/>
        <w:jc w:val="both"/>
        <w:rPr>
          <w:iCs/>
          <w:sz w:val="22"/>
          <w:szCs w:val="22"/>
        </w:rPr>
      </w:pPr>
    </w:p>
    <w:p w:rsidR="003E5D9C" w:rsidRPr="000750E4" w:rsidRDefault="003E5D9C" w:rsidP="003E5D9C">
      <w:pPr>
        <w:pStyle w:val="Default"/>
        <w:jc w:val="both"/>
        <w:rPr>
          <w:iCs/>
          <w:sz w:val="22"/>
          <w:szCs w:val="22"/>
        </w:rPr>
      </w:pPr>
      <w:r w:rsidRPr="00EA700C">
        <w:rPr>
          <w:b/>
          <w:iCs/>
          <w:sz w:val="22"/>
          <w:szCs w:val="22"/>
        </w:rPr>
        <w:t xml:space="preserve">Medziročne príjmové </w:t>
      </w:r>
      <w:r w:rsidR="004938E5" w:rsidRPr="00EA700C">
        <w:rPr>
          <w:b/>
          <w:iCs/>
          <w:sz w:val="22"/>
          <w:szCs w:val="22"/>
        </w:rPr>
        <w:t>finančné operácie rástli o 8</w:t>
      </w:r>
      <w:r w:rsidR="00F84C44">
        <w:rPr>
          <w:b/>
          <w:iCs/>
          <w:sz w:val="22"/>
          <w:szCs w:val="22"/>
        </w:rPr>
        <w:t>5</w:t>
      </w:r>
      <w:r w:rsidR="004938E5" w:rsidRPr="00EA700C">
        <w:rPr>
          <w:b/>
          <w:iCs/>
          <w:sz w:val="22"/>
          <w:szCs w:val="22"/>
        </w:rPr>
        <w:t>.9</w:t>
      </w:r>
      <w:r w:rsidR="00F84C44">
        <w:rPr>
          <w:b/>
          <w:iCs/>
          <w:sz w:val="22"/>
          <w:szCs w:val="22"/>
        </w:rPr>
        <w:t>10</w:t>
      </w:r>
      <w:r w:rsidR="004938E5" w:rsidRPr="00EA700C">
        <w:rPr>
          <w:b/>
          <w:iCs/>
          <w:sz w:val="22"/>
          <w:szCs w:val="22"/>
        </w:rPr>
        <w:t>€</w:t>
      </w:r>
      <w:r w:rsidR="00EA700C">
        <w:rPr>
          <w:b/>
          <w:iCs/>
          <w:sz w:val="22"/>
          <w:szCs w:val="22"/>
        </w:rPr>
        <w:t xml:space="preserve">. </w:t>
      </w:r>
    </w:p>
    <w:p w:rsidR="003E5D9C" w:rsidRPr="000750E4" w:rsidRDefault="003E5D9C" w:rsidP="00155DC1">
      <w:pPr>
        <w:pStyle w:val="Default"/>
        <w:jc w:val="both"/>
        <w:rPr>
          <w:b/>
          <w:iCs/>
          <w:sz w:val="22"/>
          <w:szCs w:val="22"/>
        </w:rPr>
      </w:pPr>
    </w:p>
    <w:p w:rsidR="00155DC1" w:rsidRPr="000750E4" w:rsidRDefault="00155DC1" w:rsidP="00155DC1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>Výdavkové finančné operácie</w:t>
      </w:r>
    </w:p>
    <w:p w:rsidR="003E5D9C" w:rsidRPr="000750E4" w:rsidRDefault="003E5D9C" w:rsidP="00155DC1">
      <w:pPr>
        <w:pStyle w:val="Default"/>
        <w:jc w:val="both"/>
        <w:rPr>
          <w:iCs/>
          <w:sz w:val="22"/>
          <w:szCs w:val="22"/>
        </w:rPr>
      </w:pPr>
    </w:p>
    <w:p w:rsidR="003E5D9C" w:rsidRPr="000750E4" w:rsidRDefault="003E5D9C" w:rsidP="003E5D9C">
      <w:pPr>
        <w:pStyle w:val="Default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Prostredníctvom výdavkových finančných operácií sa uhradili splátky istiny návratných zdrojov financovania :</w:t>
      </w:r>
    </w:p>
    <w:p w:rsidR="00C46A01" w:rsidRPr="000750E4" w:rsidRDefault="00C46A01" w:rsidP="003E5D9C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rekonštrukcia cesty – ročná splátka, </w:t>
      </w:r>
    </w:p>
    <w:p w:rsidR="00C46A01" w:rsidRPr="000750E4" w:rsidRDefault="003E5D9C" w:rsidP="003E5D9C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rekonštrukci</w:t>
      </w:r>
      <w:r w:rsidR="00C46A01" w:rsidRPr="000750E4">
        <w:rPr>
          <w:iCs/>
          <w:sz w:val="22"/>
          <w:szCs w:val="22"/>
        </w:rPr>
        <w:t>a</w:t>
      </w:r>
      <w:r w:rsidRPr="000750E4">
        <w:rPr>
          <w:iCs/>
          <w:sz w:val="22"/>
          <w:szCs w:val="22"/>
        </w:rPr>
        <w:t xml:space="preserve"> MŠ </w:t>
      </w:r>
      <w:proofErr w:type="spellStart"/>
      <w:r w:rsidRPr="000750E4">
        <w:rPr>
          <w:iCs/>
          <w:sz w:val="22"/>
          <w:szCs w:val="22"/>
        </w:rPr>
        <w:t>Vsetínska</w:t>
      </w:r>
      <w:proofErr w:type="spellEnd"/>
      <w:r w:rsidRPr="000750E4">
        <w:rPr>
          <w:iCs/>
          <w:sz w:val="22"/>
          <w:szCs w:val="22"/>
        </w:rPr>
        <w:t xml:space="preserve">, </w:t>
      </w:r>
    </w:p>
    <w:p w:rsidR="00C46A01" w:rsidRPr="000750E4" w:rsidRDefault="00C46A01" w:rsidP="003E5D9C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reštrukturalizácia </w:t>
      </w:r>
      <w:r w:rsidR="003E5D9C" w:rsidRPr="000750E4">
        <w:rPr>
          <w:iCs/>
          <w:sz w:val="22"/>
          <w:szCs w:val="22"/>
        </w:rPr>
        <w:t xml:space="preserve">kapitálového úveru, </w:t>
      </w:r>
    </w:p>
    <w:p w:rsidR="003E5D9C" w:rsidRDefault="003E5D9C" w:rsidP="003E5D9C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>rekonštrukci</w:t>
      </w:r>
      <w:r w:rsidR="00C46A01" w:rsidRPr="000750E4">
        <w:rPr>
          <w:iCs/>
          <w:sz w:val="22"/>
          <w:szCs w:val="22"/>
        </w:rPr>
        <w:t>a</w:t>
      </w:r>
      <w:r w:rsidRPr="000750E4">
        <w:rPr>
          <w:iCs/>
          <w:sz w:val="22"/>
          <w:szCs w:val="22"/>
        </w:rPr>
        <w:t xml:space="preserve"> kina KOCKA</w:t>
      </w:r>
      <w:r w:rsidR="00EA700C">
        <w:rPr>
          <w:iCs/>
          <w:sz w:val="22"/>
          <w:szCs w:val="22"/>
        </w:rPr>
        <w:t xml:space="preserve">, </w:t>
      </w:r>
    </w:p>
    <w:p w:rsidR="00EA700C" w:rsidRPr="000750E4" w:rsidRDefault="00EA700C" w:rsidP="003E5D9C">
      <w:pPr>
        <w:pStyle w:val="Default"/>
        <w:numPr>
          <w:ilvl w:val="0"/>
          <w:numId w:val="3"/>
        </w:num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dlhodobý kapitálový úver z roku 2017. </w:t>
      </w:r>
    </w:p>
    <w:p w:rsidR="00C46A01" w:rsidRPr="000750E4" w:rsidRDefault="00C46A01" w:rsidP="003E5D9C">
      <w:pPr>
        <w:pStyle w:val="Default"/>
        <w:jc w:val="both"/>
        <w:rPr>
          <w:iCs/>
          <w:sz w:val="22"/>
          <w:szCs w:val="22"/>
        </w:rPr>
      </w:pPr>
    </w:p>
    <w:p w:rsidR="00EA700C" w:rsidRPr="00EA700C" w:rsidRDefault="00EA700C" w:rsidP="00EA700C">
      <w:pPr>
        <w:pStyle w:val="Default"/>
        <w:jc w:val="both"/>
        <w:rPr>
          <w:b/>
          <w:iCs/>
          <w:sz w:val="22"/>
          <w:szCs w:val="22"/>
        </w:rPr>
      </w:pPr>
      <w:r w:rsidRPr="00363142">
        <w:rPr>
          <w:b/>
          <w:iCs/>
          <w:sz w:val="22"/>
          <w:szCs w:val="22"/>
        </w:rPr>
        <w:t>Výdavkové f</w:t>
      </w:r>
      <w:r w:rsidRPr="00EA700C">
        <w:rPr>
          <w:b/>
          <w:iCs/>
          <w:sz w:val="22"/>
          <w:szCs w:val="22"/>
        </w:rPr>
        <w:t>inančné</w:t>
      </w:r>
      <w:r w:rsidR="00F84C44">
        <w:rPr>
          <w:b/>
          <w:iCs/>
          <w:sz w:val="22"/>
          <w:szCs w:val="22"/>
        </w:rPr>
        <w:t xml:space="preserve"> operácie v medziročnom období kles</w:t>
      </w:r>
      <w:r w:rsidR="00EF1BBF">
        <w:rPr>
          <w:b/>
          <w:iCs/>
          <w:sz w:val="22"/>
          <w:szCs w:val="22"/>
        </w:rPr>
        <w:t>a</w:t>
      </w:r>
      <w:r w:rsidR="00F84C44">
        <w:rPr>
          <w:b/>
          <w:iCs/>
          <w:sz w:val="22"/>
          <w:szCs w:val="22"/>
        </w:rPr>
        <w:t>li</w:t>
      </w:r>
      <w:r w:rsidRPr="00EA700C">
        <w:rPr>
          <w:b/>
          <w:iCs/>
          <w:sz w:val="22"/>
          <w:szCs w:val="22"/>
        </w:rPr>
        <w:t xml:space="preserve"> o</w:t>
      </w:r>
      <w:r w:rsidR="00F84C44">
        <w:rPr>
          <w:b/>
          <w:iCs/>
          <w:sz w:val="22"/>
          <w:szCs w:val="22"/>
        </w:rPr>
        <w:t> 15.825</w:t>
      </w:r>
      <w:r w:rsidRPr="00EA700C">
        <w:rPr>
          <w:b/>
          <w:iCs/>
          <w:sz w:val="22"/>
          <w:szCs w:val="22"/>
        </w:rPr>
        <w:t xml:space="preserve">€. </w:t>
      </w:r>
    </w:p>
    <w:p w:rsidR="00155DC1" w:rsidRPr="000750E4" w:rsidRDefault="00155DC1" w:rsidP="00155DC1">
      <w:pPr>
        <w:pStyle w:val="Default"/>
        <w:jc w:val="both"/>
        <w:rPr>
          <w:iCs/>
          <w:sz w:val="22"/>
          <w:szCs w:val="22"/>
        </w:rPr>
      </w:pPr>
    </w:p>
    <w:p w:rsidR="00A35A9B" w:rsidRPr="000750E4" w:rsidRDefault="009E46F1" w:rsidP="00A35A9B">
      <w:pPr>
        <w:pStyle w:val="Default"/>
        <w:ind w:firstLine="708"/>
        <w:jc w:val="both"/>
        <w:rPr>
          <w:b/>
          <w:iCs/>
          <w:sz w:val="22"/>
          <w:szCs w:val="22"/>
        </w:rPr>
      </w:pPr>
      <w:r w:rsidRPr="005D596B">
        <w:rPr>
          <w:iCs/>
          <w:sz w:val="22"/>
          <w:szCs w:val="22"/>
        </w:rPr>
        <w:t>Plánované finančné operácie</w:t>
      </w:r>
      <w:r w:rsidRPr="000750E4">
        <w:rPr>
          <w:iCs/>
          <w:sz w:val="22"/>
          <w:szCs w:val="22"/>
        </w:rPr>
        <w:t xml:space="preserve"> boli rozpočtovan</w:t>
      </w:r>
      <w:r w:rsidR="00931B09" w:rsidRPr="000750E4">
        <w:rPr>
          <w:iCs/>
          <w:sz w:val="22"/>
          <w:szCs w:val="22"/>
        </w:rPr>
        <w:t>é na úrovni príjmov a výdavkov s</w:t>
      </w:r>
      <w:r w:rsidR="00C46A01" w:rsidRPr="000750E4">
        <w:rPr>
          <w:iCs/>
          <w:sz w:val="22"/>
          <w:szCs w:val="22"/>
        </w:rPr>
        <w:t xml:space="preserve"> prebytkom </w:t>
      </w:r>
      <w:r w:rsidR="00931B09" w:rsidRPr="000750E4">
        <w:rPr>
          <w:iCs/>
          <w:sz w:val="22"/>
          <w:szCs w:val="22"/>
        </w:rPr>
        <w:t xml:space="preserve">na úrovni </w:t>
      </w:r>
      <w:r w:rsidR="00BE61CB">
        <w:rPr>
          <w:iCs/>
          <w:sz w:val="22"/>
          <w:szCs w:val="22"/>
        </w:rPr>
        <w:t xml:space="preserve">1.406.667€ </w:t>
      </w:r>
      <w:r w:rsidR="00EC70B7">
        <w:rPr>
          <w:iCs/>
          <w:sz w:val="22"/>
          <w:szCs w:val="22"/>
        </w:rPr>
        <w:t xml:space="preserve">(r.2018 833.528€, </w:t>
      </w:r>
      <w:r w:rsidR="004D5644">
        <w:rPr>
          <w:iCs/>
          <w:sz w:val="22"/>
          <w:szCs w:val="22"/>
        </w:rPr>
        <w:t xml:space="preserve">r.2017 </w:t>
      </w:r>
      <w:r w:rsidR="006F66F7">
        <w:rPr>
          <w:iCs/>
          <w:sz w:val="22"/>
          <w:szCs w:val="22"/>
        </w:rPr>
        <w:t>85.385</w:t>
      </w:r>
      <w:r w:rsidR="004D5644">
        <w:rPr>
          <w:iCs/>
          <w:sz w:val="22"/>
          <w:szCs w:val="22"/>
        </w:rPr>
        <w:t>€, r.</w:t>
      </w:r>
      <w:r w:rsidR="00C46A01" w:rsidRPr="000750E4">
        <w:rPr>
          <w:iCs/>
          <w:sz w:val="22"/>
          <w:szCs w:val="22"/>
        </w:rPr>
        <w:t xml:space="preserve">2016 </w:t>
      </w:r>
      <w:r w:rsidR="006F66F7">
        <w:rPr>
          <w:iCs/>
          <w:sz w:val="22"/>
          <w:szCs w:val="22"/>
        </w:rPr>
        <w:t>(schodok) -331.439</w:t>
      </w:r>
      <w:r w:rsidR="00931B09" w:rsidRPr="000750E4">
        <w:rPr>
          <w:iCs/>
          <w:sz w:val="22"/>
          <w:szCs w:val="22"/>
        </w:rPr>
        <w:t>€</w:t>
      </w:r>
      <w:r w:rsidR="00C46A01" w:rsidRPr="000750E4">
        <w:rPr>
          <w:iCs/>
          <w:sz w:val="22"/>
          <w:szCs w:val="22"/>
        </w:rPr>
        <w:t>)</w:t>
      </w:r>
      <w:r w:rsidR="00931B09" w:rsidRPr="000750E4">
        <w:rPr>
          <w:iCs/>
          <w:sz w:val="22"/>
          <w:szCs w:val="22"/>
        </w:rPr>
        <w:t xml:space="preserve">, skutočné plnenie bolo dosiahnuté na úrovni </w:t>
      </w:r>
      <w:r w:rsidR="00EF1BBF">
        <w:rPr>
          <w:iCs/>
          <w:sz w:val="22"/>
          <w:szCs w:val="22"/>
        </w:rPr>
        <w:t>906.838</w:t>
      </w:r>
      <w:r w:rsidR="00EC70B7">
        <w:rPr>
          <w:iCs/>
          <w:sz w:val="22"/>
          <w:szCs w:val="22"/>
        </w:rPr>
        <w:t>€ (r.2018 8</w:t>
      </w:r>
      <w:r w:rsidR="00CC49F4">
        <w:rPr>
          <w:iCs/>
          <w:sz w:val="22"/>
          <w:szCs w:val="22"/>
        </w:rPr>
        <w:t>05.103</w:t>
      </w:r>
      <w:r w:rsidR="00EC70B7">
        <w:rPr>
          <w:iCs/>
          <w:sz w:val="22"/>
          <w:szCs w:val="22"/>
        </w:rPr>
        <w:t xml:space="preserve">€, </w:t>
      </w:r>
      <w:r w:rsidR="00894CC0">
        <w:rPr>
          <w:iCs/>
          <w:sz w:val="22"/>
          <w:szCs w:val="22"/>
        </w:rPr>
        <w:t xml:space="preserve">r.2017 </w:t>
      </w:r>
      <w:r w:rsidR="006F66F7">
        <w:rPr>
          <w:iCs/>
          <w:sz w:val="22"/>
          <w:szCs w:val="22"/>
        </w:rPr>
        <w:t>(schodok) 61.035€</w:t>
      </w:r>
      <w:r w:rsidR="00894CC0">
        <w:rPr>
          <w:iCs/>
          <w:sz w:val="22"/>
          <w:szCs w:val="22"/>
        </w:rPr>
        <w:t xml:space="preserve">, </w:t>
      </w:r>
      <w:r w:rsidR="00EC70B7">
        <w:rPr>
          <w:iCs/>
          <w:sz w:val="22"/>
          <w:szCs w:val="22"/>
        </w:rPr>
        <w:t xml:space="preserve">r. 2016 </w:t>
      </w:r>
      <w:r w:rsidR="006F66F7">
        <w:rPr>
          <w:iCs/>
          <w:sz w:val="22"/>
          <w:szCs w:val="22"/>
        </w:rPr>
        <w:t>268.220</w:t>
      </w:r>
      <w:r w:rsidR="00931B09" w:rsidRPr="000750E4">
        <w:rPr>
          <w:iCs/>
          <w:sz w:val="22"/>
          <w:szCs w:val="22"/>
        </w:rPr>
        <w:t>€</w:t>
      </w:r>
      <w:r w:rsidR="00C46A01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, finančné </w:t>
      </w:r>
      <w:proofErr w:type="spellStart"/>
      <w:r w:rsidRPr="000750E4">
        <w:rPr>
          <w:iCs/>
          <w:sz w:val="22"/>
          <w:szCs w:val="22"/>
        </w:rPr>
        <w:t>operácie_príjmové</w:t>
      </w:r>
      <w:proofErr w:type="spellEnd"/>
      <w:r w:rsidRPr="000750E4">
        <w:rPr>
          <w:iCs/>
          <w:sz w:val="22"/>
          <w:szCs w:val="22"/>
        </w:rPr>
        <w:t xml:space="preserve"> splnené na úrovni </w:t>
      </w:r>
      <w:r w:rsidR="00EF1BBF">
        <w:rPr>
          <w:iCs/>
          <w:sz w:val="22"/>
          <w:szCs w:val="22"/>
        </w:rPr>
        <w:t>75</w:t>
      </w:r>
      <w:r w:rsidR="00EC70B7">
        <w:rPr>
          <w:iCs/>
          <w:sz w:val="22"/>
          <w:szCs w:val="22"/>
        </w:rPr>
        <w:t>,</w:t>
      </w:r>
      <w:r w:rsidR="00EF1BBF">
        <w:rPr>
          <w:iCs/>
          <w:sz w:val="22"/>
          <w:szCs w:val="22"/>
        </w:rPr>
        <w:t>10</w:t>
      </w:r>
      <w:r w:rsidR="00EC70B7">
        <w:rPr>
          <w:iCs/>
          <w:sz w:val="22"/>
          <w:szCs w:val="22"/>
        </w:rPr>
        <w:t xml:space="preserve">% (r.2018 </w:t>
      </w:r>
      <w:r w:rsidR="000A5120">
        <w:rPr>
          <w:iCs/>
          <w:sz w:val="22"/>
          <w:szCs w:val="22"/>
        </w:rPr>
        <w:t>75,39%</w:t>
      </w:r>
      <w:r w:rsidR="00EC70B7">
        <w:rPr>
          <w:iCs/>
          <w:sz w:val="22"/>
          <w:szCs w:val="22"/>
        </w:rPr>
        <w:t xml:space="preserve">, </w:t>
      </w:r>
      <w:r w:rsidR="00894CC0">
        <w:rPr>
          <w:iCs/>
          <w:sz w:val="22"/>
          <w:szCs w:val="22"/>
        </w:rPr>
        <w:t xml:space="preserve">r.2017 </w:t>
      </w:r>
      <w:r w:rsidR="000A5120">
        <w:rPr>
          <w:iCs/>
          <w:sz w:val="22"/>
          <w:szCs w:val="22"/>
        </w:rPr>
        <w:t>26,89</w:t>
      </w:r>
      <w:r w:rsidR="00C46A01" w:rsidRPr="000750E4">
        <w:rPr>
          <w:iCs/>
          <w:sz w:val="22"/>
          <w:szCs w:val="22"/>
        </w:rPr>
        <w:t xml:space="preserve"> % </w:t>
      </w:r>
      <w:r w:rsidR="00894CC0">
        <w:rPr>
          <w:iCs/>
          <w:sz w:val="22"/>
          <w:szCs w:val="22"/>
        </w:rPr>
        <w:t xml:space="preserve">, </w:t>
      </w:r>
      <w:r w:rsidR="00C46A01" w:rsidRPr="000750E4">
        <w:rPr>
          <w:iCs/>
          <w:sz w:val="22"/>
          <w:szCs w:val="22"/>
        </w:rPr>
        <w:t xml:space="preserve">r.2016 </w:t>
      </w:r>
      <w:r w:rsidR="000A5120">
        <w:rPr>
          <w:iCs/>
          <w:sz w:val="22"/>
          <w:szCs w:val="22"/>
        </w:rPr>
        <w:t>88,26</w:t>
      </w:r>
      <w:r w:rsidRPr="000750E4">
        <w:rPr>
          <w:iCs/>
          <w:sz w:val="22"/>
          <w:szCs w:val="22"/>
        </w:rPr>
        <w:t>%</w:t>
      </w:r>
      <w:r w:rsidR="00C46A01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 a finančné </w:t>
      </w:r>
      <w:proofErr w:type="spellStart"/>
      <w:r w:rsidRPr="000750E4">
        <w:rPr>
          <w:iCs/>
          <w:sz w:val="22"/>
          <w:szCs w:val="22"/>
        </w:rPr>
        <w:t>operácie_výdavkové</w:t>
      </w:r>
      <w:proofErr w:type="spellEnd"/>
      <w:r w:rsidRPr="000750E4">
        <w:rPr>
          <w:iCs/>
          <w:sz w:val="22"/>
          <w:szCs w:val="22"/>
        </w:rPr>
        <w:t xml:space="preserve"> splnené na úrovní</w:t>
      </w:r>
      <w:r w:rsidR="00C46A01" w:rsidRPr="000750E4">
        <w:rPr>
          <w:iCs/>
          <w:sz w:val="22"/>
          <w:szCs w:val="22"/>
        </w:rPr>
        <w:t xml:space="preserve"> </w:t>
      </w:r>
      <w:r w:rsidR="00EC70B7">
        <w:rPr>
          <w:iCs/>
          <w:sz w:val="22"/>
          <w:szCs w:val="22"/>
        </w:rPr>
        <w:t xml:space="preserve">113,96€ (r.2018 </w:t>
      </w:r>
      <w:r w:rsidR="00BA24FC">
        <w:rPr>
          <w:iCs/>
          <w:sz w:val="22"/>
          <w:szCs w:val="22"/>
        </w:rPr>
        <w:t>91,26</w:t>
      </w:r>
      <w:r w:rsidR="00EC70B7">
        <w:rPr>
          <w:iCs/>
          <w:sz w:val="22"/>
          <w:szCs w:val="22"/>
        </w:rPr>
        <w:t xml:space="preserve">%, </w:t>
      </w:r>
      <w:r w:rsidR="00894CC0">
        <w:rPr>
          <w:iCs/>
          <w:sz w:val="22"/>
          <w:szCs w:val="22"/>
        </w:rPr>
        <w:t xml:space="preserve">r.2017 </w:t>
      </w:r>
      <w:r w:rsidR="00BA24FC">
        <w:rPr>
          <w:iCs/>
          <w:sz w:val="22"/>
          <w:szCs w:val="22"/>
        </w:rPr>
        <w:t>99,96</w:t>
      </w:r>
      <w:r w:rsidR="00894CC0">
        <w:rPr>
          <w:iCs/>
          <w:sz w:val="22"/>
          <w:szCs w:val="22"/>
        </w:rPr>
        <w:t>%, r.</w:t>
      </w:r>
      <w:r w:rsidR="00C46A01" w:rsidRPr="000750E4">
        <w:rPr>
          <w:iCs/>
          <w:sz w:val="22"/>
          <w:szCs w:val="22"/>
        </w:rPr>
        <w:t>2016</w:t>
      </w:r>
      <w:r w:rsidRPr="000750E4">
        <w:rPr>
          <w:iCs/>
          <w:sz w:val="22"/>
          <w:szCs w:val="22"/>
        </w:rPr>
        <w:t xml:space="preserve"> </w:t>
      </w:r>
      <w:r w:rsidR="00BA24FC">
        <w:rPr>
          <w:iCs/>
          <w:sz w:val="22"/>
          <w:szCs w:val="22"/>
        </w:rPr>
        <w:t>100,</w:t>
      </w:r>
      <w:r w:rsidR="00EC70B7">
        <w:rPr>
          <w:iCs/>
          <w:sz w:val="22"/>
          <w:szCs w:val="22"/>
        </w:rPr>
        <w:t>43</w:t>
      </w:r>
      <w:r w:rsidRPr="000750E4">
        <w:rPr>
          <w:iCs/>
          <w:sz w:val="22"/>
          <w:szCs w:val="22"/>
        </w:rPr>
        <w:t>%.</w:t>
      </w:r>
      <w:r w:rsidR="00C46A01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 </w:t>
      </w:r>
      <w:r w:rsidR="00330817" w:rsidRPr="00C54726">
        <w:rPr>
          <w:b/>
          <w:iCs/>
          <w:sz w:val="22"/>
          <w:szCs w:val="22"/>
        </w:rPr>
        <w:t xml:space="preserve">Finančné operácie dosiahli </w:t>
      </w:r>
      <w:r w:rsidR="00894CC0" w:rsidRPr="00C54726">
        <w:rPr>
          <w:b/>
          <w:iCs/>
          <w:sz w:val="22"/>
          <w:szCs w:val="22"/>
        </w:rPr>
        <w:t xml:space="preserve">prebytok </w:t>
      </w:r>
      <w:r w:rsidR="001E5BFA">
        <w:rPr>
          <w:b/>
          <w:iCs/>
          <w:sz w:val="22"/>
          <w:szCs w:val="22"/>
        </w:rPr>
        <w:t>906.838</w:t>
      </w:r>
      <w:r w:rsidR="00EC70B7" w:rsidRPr="00C54726">
        <w:rPr>
          <w:b/>
          <w:iCs/>
          <w:sz w:val="22"/>
          <w:szCs w:val="22"/>
        </w:rPr>
        <w:t xml:space="preserve">€ (r.2018 805.103€, </w:t>
      </w:r>
      <w:r w:rsidR="00894CC0" w:rsidRPr="00C54726">
        <w:rPr>
          <w:b/>
          <w:iCs/>
          <w:sz w:val="22"/>
          <w:szCs w:val="22"/>
        </w:rPr>
        <w:t xml:space="preserve">r.2017 </w:t>
      </w:r>
      <w:r w:rsidR="00C46A01" w:rsidRPr="00C54726">
        <w:rPr>
          <w:b/>
          <w:iCs/>
          <w:sz w:val="22"/>
          <w:szCs w:val="22"/>
        </w:rPr>
        <w:t>schodok</w:t>
      </w:r>
      <w:r w:rsidR="00330817" w:rsidRPr="00C54726">
        <w:rPr>
          <w:b/>
          <w:iCs/>
          <w:sz w:val="22"/>
          <w:szCs w:val="22"/>
        </w:rPr>
        <w:t xml:space="preserve"> </w:t>
      </w:r>
      <w:r w:rsidR="00894CC0" w:rsidRPr="00C54726">
        <w:rPr>
          <w:b/>
          <w:iCs/>
          <w:sz w:val="22"/>
          <w:szCs w:val="22"/>
        </w:rPr>
        <w:t xml:space="preserve">61.035€, </w:t>
      </w:r>
      <w:r w:rsidR="00C46A01" w:rsidRPr="00C54726">
        <w:rPr>
          <w:b/>
          <w:iCs/>
          <w:sz w:val="22"/>
          <w:szCs w:val="22"/>
        </w:rPr>
        <w:t>r. 2016 prebytok</w:t>
      </w:r>
      <w:r w:rsidR="00330817" w:rsidRPr="00C54726">
        <w:rPr>
          <w:b/>
          <w:iCs/>
          <w:sz w:val="22"/>
          <w:szCs w:val="22"/>
        </w:rPr>
        <w:t xml:space="preserve"> 268.220€</w:t>
      </w:r>
      <w:r w:rsidR="00C46A01" w:rsidRPr="00C54726">
        <w:rPr>
          <w:b/>
          <w:iCs/>
          <w:sz w:val="22"/>
          <w:szCs w:val="22"/>
        </w:rPr>
        <w:t>)</w:t>
      </w:r>
      <w:r w:rsidR="00330817" w:rsidRPr="00C54726">
        <w:rPr>
          <w:b/>
          <w:iCs/>
          <w:sz w:val="22"/>
          <w:szCs w:val="22"/>
        </w:rPr>
        <w:t>.</w:t>
      </w:r>
      <w:r w:rsidR="00330817" w:rsidRPr="000750E4">
        <w:rPr>
          <w:b/>
          <w:iCs/>
          <w:sz w:val="22"/>
          <w:szCs w:val="22"/>
        </w:rPr>
        <w:t xml:space="preserve"> </w:t>
      </w:r>
    </w:p>
    <w:p w:rsidR="00406CC2" w:rsidRPr="000750E4" w:rsidRDefault="00406CC2" w:rsidP="006E6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583309" w:rsidRPr="000750E4" w:rsidRDefault="00F40424" w:rsidP="006E64F8">
      <w:pPr>
        <w:pStyle w:val="Default"/>
        <w:ind w:firstLine="708"/>
        <w:jc w:val="both"/>
        <w:rPr>
          <w:b/>
          <w:bCs/>
          <w:sz w:val="22"/>
          <w:szCs w:val="22"/>
        </w:rPr>
      </w:pPr>
      <w:r w:rsidRPr="00CA5FF4">
        <w:rPr>
          <w:b/>
          <w:bCs/>
          <w:color w:val="auto"/>
          <w:sz w:val="22"/>
          <w:szCs w:val="22"/>
        </w:rPr>
        <w:t xml:space="preserve">Prebytok </w:t>
      </w:r>
      <w:r w:rsidR="006A446D" w:rsidRPr="00CA5FF4">
        <w:rPr>
          <w:b/>
          <w:bCs/>
          <w:color w:val="auto"/>
          <w:sz w:val="22"/>
          <w:szCs w:val="22"/>
        </w:rPr>
        <w:t>f</w:t>
      </w:r>
      <w:r w:rsidRPr="00CA5FF4">
        <w:rPr>
          <w:b/>
          <w:bCs/>
          <w:color w:val="auto"/>
          <w:sz w:val="22"/>
          <w:szCs w:val="22"/>
        </w:rPr>
        <w:t xml:space="preserve">inančných </w:t>
      </w:r>
      <w:r>
        <w:rPr>
          <w:b/>
          <w:bCs/>
          <w:sz w:val="22"/>
          <w:szCs w:val="22"/>
        </w:rPr>
        <w:t xml:space="preserve">operácií bol zdrojom krytia schodku kapitálového rozpočtu. </w:t>
      </w:r>
    </w:p>
    <w:p w:rsidR="00E07C67" w:rsidRDefault="00E07C67" w:rsidP="00767A08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CD6E42" w:rsidRPr="000750E4" w:rsidRDefault="00CD6E42" w:rsidP="00767A08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1936DA" w:rsidRPr="000750E4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0750E4">
        <w:rPr>
          <w:b/>
          <w:iCs/>
          <w:smallCaps/>
          <w:sz w:val="26"/>
          <w:szCs w:val="26"/>
        </w:rPr>
        <w:t xml:space="preserve">Výsledok hospodárenia </w:t>
      </w:r>
    </w:p>
    <w:p w:rsidR="00767A08" w:rsidRPr="000750E4" w:rsidRDefault="00767A08" w:rsidP="0050438F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583309" w:rsidRPr="000750E4" w:rsidRDefault="00583309" w:rsidP="005833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eastAsia="Times New Roman" w:hAnsi="Times New Roman" w:cs="Times New Roman"/>
          <w:lang w:eastAsia="sk-SK"/>
        </w:rPr>
        <w:t xml:space="preserve">Výsledok rozpočtového hospodárenia sa zisťuje po zúčtovaní celkových príjmov a výdavkov ako výsledok ich súhrnnej bilancie. </w:t>
      </w:r>
      <w:r w:rsidR="00223665" w:rsidRPr="000750E4">
        <w:rPr>
          <w:rFonts w:ascii="Times New Roman" w:eastAsia="Times New Roman" w:hAnsi="Times New Roman" w:cs="Times New Roman"/>
          <w:lang w:eastAsia="sk-SK"/>
        </w:rPr>
        <w:t xml:space="preserve">Výsledkom rozpočtového hospodárenia môže byť prebytok alebo schodok jej rozpočtu; podľa </w:t>
      </w:r>
      <w:proofErr w:type="spellStart"/>
      <w:r w:rsidR="00223665" w:rsidRPr="000750E4">
        <w:rPr>
          <w:rFonts w:ascii="Times New Roman" w:eastAsia="Times New Roman" w:hAnsi="Times New Roman" w:cs="Times New Roman"/>
          <w:lang w:eastAsia="sk-SK"/>
        </w:rPr>
        <w:t>ust</w:t>
      </w:r>
      <w:proofErr w:type="spellEnd"/>
      <w:r w:rsidR="00223665" w:rsidRPr="000750E4">
        <w:rPr>
          <w:rFonts w:ascii="Times New Roman" w:eastAsia="Times New Roman" w:hAnsi="Times New Roman" w:cs="Times New Roman"/>
          <w:lang w:eastAsia="sk-SK"/>
        </w:rPr>
        <w:t>. § 2 písm. b) a c) a </w:t>
      </w:r>
      <w:proofErr w:type="spellStart"/>
      <w:r w:rsidR="00223665" w:rsidRPr="000750E4">
        <w:rPr>
          <w:rFonts w:ascii="Times New Roman" w:eastAsia="Times New Roman" w:hAnsi="Times New Roman" w:cs="Times New Roman"/>
          <w:lang w:eastAsia="sk-SK"/>
        </w:rPr>
        <w:t>ust</w:t>
      </w:r>
      <w:proofErr w:type="spellEnd"/>
      <w:r w:rsidR="00223665" w:rsidRPr="000750E4">
        <w:rPr>
          <w:rFonts w:ascii="Times New Roman" w:eastAsia="Times New Roman" w:hAnsi="Times New Roman" w:cs="Times New Roman"/>
          <w:lang w:eastAsia="sk-SK"/>
        </w:rPr>
        <w:t xml:space="preserve">. § 10 ods. 3 písm. a) a b) zákona č. 583/2004 Z.z.; </w:t>
      </w:r>
      <w:r w:rsidRPr="000750E4">
        <w:rPr>
          <w:rFonts w:ascii="Times New Roman" w:hAnsi="Times New Roman" w:cs="Times New Roman"/>
          <w:color w:val="000000"/>
        </w:rPr>
        <w:t xml:space="preserve">prebytkom rozpočtu mesta je kladný rozdiel medzi príjmami a výdavkami rozpočtu mesta; schodkom rozpočtu mesta je záporný rozdiel medzi príjmami a výdavkami rozpočtu mesta, pričom súčasťou príjmov a výdavkov rozpočtu mesta nie sú finančné operácie. </w:t>
      </w:r>
      <w:r w:rsidR="00223665" w:rsidRPr="000750E4">
        <w:rPr>
          <w:rFonts w:ascii="Times New Roman" w:hAnsi="Times New Roman" w:cs="Times New Roman"/>
          <w:color w:val="000000"/>
        </w:rPr>
        <w:t xml:space="preserve">Pod príjmami a výdavkami rozpočtu sa chápu bežné príjmy a  výdavky (bežný </w:t>
      </w:r>
      <w:r w:rsidR="00363142">
        <w:rPr>
          <w:rFonts w:ascii="Times New Roman" w:hAnsi="Times New Roman" w:cs="Times New Roman"/>
          <w:color w:val="000000"/>
        </w:rPr>
        <w:t>rozpočet) a kapitálové príjmy a</w:t>
      </w:r>
      <w:r w:rsidR="00223665" w:rsidRPr="000750E4">
        <w:rPr>
          <w:rFonts w:ascii="Times New Roman" w:hAnsi="Times New Roman" w:cs="Times New Roman"/>
          <w:color w:val="000000"/>
        </w:rPr>
        <w:t xml:space="preserve"> výdavky (kapitálový rozpočet)</w:t>
      </w:r>
      <w:r w:rsidR="00223665" w:rsidRPr="000750E4">
        <w:rPr>
          <w:rFonts w:ascii="Times New Roman" w:eastAsia="Times New Roman" w:hAnsi="Times New Roman" w:cs="Times New Roman"/>
          <w:lang w:eastAsia="sk-SK"/>
        </w:rPr>
        <w:t xml:space="preserve">. </w:t>
      </w:r>
    </w:p>
    <w:p w:rsidR="00583309" w:rsidRPr="000750E4" w:rsidRDefault="00583309" w:rsidP="00930546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</w:p>
    <w:p w:rsidR="0013219F" w:rsidRPr="000750E4" w:rsidRDefault="00930546" w:rsidP="006E64F8">
      <w:pPr>
        <w:pStyle w:val="Default"/>
        <w:ind w:firstLine="708"/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 xml:space="preserve">Princíp rozpočtového hospodárenia znamená, že mesto je povinné hospodáriť v súlade so schváleným rozpočtom, ktorý sa zostavuje ako vyrovnaný alebo prebytkový. </w:t>
      </w:r>
      <w:r w:rsidRPr="000750E4">
        <w:rPr>
          <w:rFonts w:eastAsia="Times New Roman"/>
          <w:b/>
          <w:sz w:val="22"/>
          <w:szCs w:val="22"/>
          <w:lang w:eastAsia="sk-SK"/>
        </w:rPr>
        <w:t>V priebehu rozpočtového roka musí samospráva sledovať vývoj svojho hospodárenia</w:t>
      </w:r>
      <w:r w:rsidR="00363142">
        <w:rPr>
          <w:rFonts w:eastAsia="Times New Roman"/>
          <w:b/>
          <w:sz w:val="22"/>
          <w:szCs w:val="22"/>
          <w:lang w:eastAsia="sk-SK"/>
        </w:rPr>
        <w:t xml:space="preserve">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a v prípade potreby prijímať potrebné opatrenia, príp. reagovať na zníženie plnenia rozpočtu v oblasti príjmov viazaním rozpočtových výdavkov a pod. </w:t>
      </w:r>
      <w:r w:rsidR="007039AC" w:rsidRPr="000750E4">
        <w:rPr>
          <w:rFonts w:eastAsia="Times New Roman"/>
          <w:b/>
          <w:sz w:val="22"/>
          <w:szCs w:val="22"/>
          <w:lang w:eastAsia="sk-SK"/>
        </w:rPr>
        <w:t>Veľkým prínosom programového rozpočtovania je flexibilná podpora procesov rozpočtovania a riadenia čerpania rozpočtu, sledovanie disponibilného rozpočtu v každom okamihu aj pred jeho samotným čerpaním, sledovanie príjmov a výdav</w:t>
      </w:r>
      <w:r w:rsidR="00D149DC" w:rsidRPr="000750E4">
        <w:rPr>
          <w:rFonts w:eastAsia="Times New Roman"/>
          <w:b/>
          <w:sz w:val="22"/>
          <w:szCs w:val="22"/>
          <w:lang w:eastAsia="sk-SK"/>
        </w:rPr>
        <w:t xml:space="preserve">kov podľa zadaných kritérií. Analytická práca s tvorbou a čerpaním rozpočtu prináša mnohé výhody manažérskeho </w:t>
      </w:r>
      <w:r w:rsidR="00F40424" w:rsidRPr="000750E4">
        <w:rPr>
          <w:rFonts w:eastAsia="Times New Roman"/>
          <w:b/>
          <w:sz w:val="22"/>
          <w:szCs w:val="22"/>
          <w:lang w:eastAsia="sk-SK"/>
        </w:rPr>
        <w:t xml:space="preserve">riadenia </w:t>
      </w:r>
      <w:r w:rsidR="00F40424">
        <w:rPr>
          <w:rFonts w:eastAsia="Times New Roman"/>
          <w:b/>
          <w:sz w:val="22"/>
          <w:szCs w:val="22"/>
          <w:lang w:eastAsia="sk-SK"/>
        </w:rPr>
        <w:t>a rozhodovania</w:t>
      </w:r>
      <w:r w:rsidR="00D149DC" w:rsidRPr="000750E4">
        <w:rPr>
          <w:rFonts w:eastAsia="Times New Roman"/>
          <w:b/>
          <w:sz w:val="22"/>
          <w:szCs w:val="22"/>
          <w:lang w:eastAsia="sk-SK"/>
        </w:rPr>
        <w:t xml:space="preserve">. </w:t>
      </w:r>
    </w:p>
    <w:p w:rsidR="00583309" w:rsidRPr="000750E4" w:rsidRDefault="00583309" w:rsidP="006E64F8">
      <w:pPr>
        <w:pStyle w:val="Default"/>
        <w:ind w:firstLine="708"/>
        <w:jc w:val="both"/>
        <w:rPr>
          <w:rFonts w:eastAsia="Times New Roman"/>
          <w:b/>
          <w:sz w:val="22"/>
          <w:szCs w:val="22"/>
          <w:lang w:eastAsia="sk-SK"/>
        </w:rPr>
      </w:pPr>
    </w:p>
    <w:p w:rsidR="0013219F" w:rsidRPr="000750E4" w:rsidRDefault="0013219F" w:rsidP="00767A08">
      <w:pPr>
        <w:pStyle w:val="Default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  <w:t>Rozpočtové hospodárenie mesta v roku 201</w:t>
      </w:r>
      <w:r w:rsidR="00363142">
        <w:rPr>
          <w:iCs/>
          <w:sz w:val="22"/>
          <w:szCs w:val="22"/>
        </w:rPr>
        <w:t>9</w:t>
      </w:r>
      <w:r w:rsidRPr="000750E4">
        <w:rPr>
          <w:iCs/>
          <w:sz w:val="22"/>
          <w:szCs w:val="22"/>
        </w:rPr>
        <w:t xml:space="preserve"> predstavuje nasledovné vyhodnotenie :</w:t>
      </w:r>
      <w:r w:rsidR="00C22A6D" w:rsidRPr="000750E4">
        <w:rPr>
          <w:iCs/>
          <w:sz w:val="22"/>
          <w:szCs w:val="22"/>
        </w:rPr>
        <w:t xml:space="preserve"> </w:t>
      </w:r>
    </w:p>
    <w:p w:rsidR="001736D6" w:rsidRPr="002D5945" w:rsidRDefault="00305CCC" w:rsidP="001736D6">
      <w:pPr>
        <w:pStyle w:val="Default"/>
        <w:jc w:val="both"/>
        <w:rPr>
          <w:iCs/>
          <w:sz w:val="18"/>
          <w:szCs w:val="18"/>
        </w:rPr>
      </w:pP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Pr="002D5945">
        <w:rPr>
          <w:b/>
          <w:iCs/>
          <w:szCs w:val="26"/>
        </w:rPr>
        <w:tab/>
      </w:r>
      <w:r w:rsidR="007347F8" w:rsidRPr="002D5945">
        <w:rPr>
          <w:b/>
          <w:iCs/>
          <w:szCs w:val="26"/>
        </w:rPr>
        <w:tab/>
      </w:r>
      <w:r w:rsidRPr="002D5945">
        <w:rPr>
          <w:iCs/>
          <w:sz w:val="18"/>
          <w:szCs w:val="18"/>
        </w:rPr>
        <w:t>tab.</w:t>
      </w:r>
      <w:r w:rsidR="00D61EFD" w:rsidRPr="002D5945">
        <w:rPr>
          <w:iCs/>
          <w:sz w:val="18"/>
          <w:szCs w:val="18"/>
        </w:rPr>
        <w:t xml:space="preserve"> </w:t>
      </w:r>
      <w:r w:rsidRPr="002D5945">
        <w:rPr>
          <w:iCs/>
          <w:sz w:val="18"/>
          <w:szCs w:val="18"/>
        </w:rPr>
        <w:t xml:space="preserve">č. </w:t>
      </w:r>
      <w:r w:rsidR="001736D6" w:rsidRPr="002D5945">
        <w:rPr>
          <w:iCs/>
          <w:sz w:val="18"/>
          <w:szCs w:val="18"/>
        </w:rPr>
        <w:t>8</w:t>
      </w:r>
    </w:p>
    <w:tbl>
      <w:tblPr>
        <w:tblStyle w:val="Obyajntabuka1"/>
        <w:tblW w:w="10201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992"/>
        <w:gridCol w:w="1138"/>
        <w:gridCol w:w="1138"/>
        <w:gridCol w:w="711"/>
        <w:gridCol w:w="1055"/>
        <w:gridCol w:w="999"/>
        <w:gridCol w:w="771"/>
      </w:tblGrid>
      <w:tr w:rsidR="00363142" w:rsidRPr="002D5945" w:rsidTr="003631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6A446D">
            <w:pPr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Ukazovateľ</w:t>
            </w:r>
          </w:p>
        </w:tc>
        <w:tc>
          <w:tcPr>
            <w:tcW w:w="992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992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Rozpočet  </w:t>
            </w:r>
            <w:proofErr w:type="spellStart"/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I.zmena</w:t>
            </w:r>
            <w:proofErr w:type="spellEnd"/>
          </w:p>
        </w:tc>
        <w:tc>
          <w:tcPr>
            <w:tcW w:w="992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Rozpočet </w:t>
            </w:r>
            <w:proofErr w:type="spellStart"/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II.zmena</w:t>
            </w:r>
            <w:proofErr w:type="spellEnd"/>
          </w:p>
        </w:tc>
        <w:tc>
          <w:tcPr>
            <w:tcW w:w="1138" w:type="dxa"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Rozpočet</w:t>
            </w:r>
          </w:p>
        </w:tc>
        <w:tc>
          <w:tcPr>
            <w:tcW w:w="1138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Skutočnosť </w:t>
            </w:r>
          </w:p>
        </w:tc>
        <w:tc>
          <w:tcPr>
            <w:tcW w:w="711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% plnenia </w:t>
            </w:r>
          </w:p>
        </w:tc>
        <w:tc>
          <w:tcPr>
            <w:tcW w:w="1055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Čerpanie rozpočtu </w:t>
            </w:r>
          </w:p>
        </w:tc>
        <w:tc>
          <w:tcPr>
            <w:tcW w:w="999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>Rozdiel v rokoch</w:t>
            </w:r>
          </w:p>
        </w:tc>
        <w:tc>
          <w:tcPr>
            <w:tcW w:w="771" w:type="dxa"/>
            <w:hideMark/>
          </w:tcPr>
          <w:p w:rsidR="00363142" w:rsidRPr="002D5945" w:rsidRDefault="00363142" w:rsidP="006A44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</w:pPr>
            <w:r w:rsidRPr="002D5945"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eastAsia="sk-SK"/>
              </w:rPr>
              <w:t xml:space="preserve">% nárastu/poklesu </w:t>
            </w:r>
          </w:p>
        </w:tc>
      </w:tr>
      <w:tr w:rsidR="00363142" w:rsidRPr="002D5945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D27634">
            <w:pPr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992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992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138" w:type="dxa"/>
          </w:tcPr>
          <w:p w:rsidR="00363142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 31.12.2019</w:t>
            </w:r>
          </w:p>
        </w:tc>
        <w:tc>
          <w:tcPr>
            <w:tcW w:w="711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363142" w:rsidRPr="002D5945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 31.12.201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9" w:type="dxa"/>
            <w:noWrap/>
            <w:hideMark/>
          </w:tcPr>
          <w:p w:rsidR="00363142" w:rsidRPr="002D5945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9-2018</w:t>
            </w:r>
          </w:p>
        </w:tc>
        <w:tc>
          <w:tcPr>
            <w:tcW w:w="771" w:type="dxa"/>
            <w:noWrap/>
            <w:hideMark/>
          </w:tcPr>
          <w:p w:rsidR="00363142" w:rsidRPr="002D5945" w:rsidRDefault="00363142" w:rsidP="00D276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63142" w:rsidRPr="006A446D" w:rsidTr="0036314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BEŽNÉ PRÍJMY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12 094 743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13 006 229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13 310 378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13 643 754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13 487 203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101,33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12 038 106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1 449 097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112,04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BEŽNÉ VÝDAVKY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11 110 988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11 696 062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12 125 148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12 515 481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12 164 938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100,33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11 357 654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807 284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107,11</w:t>
            </w:r>
          </w:p>
        </w:tc>
      </w:tr>
      <w:tr w:rsidR="00363142" w:rsidRPr="006A446D" w:rsidTr="00363142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BEŽNÝ ROZPOČET  ( P-V)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983 755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1 310 167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1 185 230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1 128 273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1 322 265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111,56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680 452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641 813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194,32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KAPITÁLOVÉ  PRÍJMY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265 274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721 566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896 016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996 016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948 340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105,84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911 434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36 906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104,05</w:t>
            </w:r>
          </w:p>
        </w:tc>
      </w:tr>
      <w:tr w:rsidR="00363142" w:rsidRPr="006A446D" w:rsidTr="00363142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KAPITÁLOVÉ  VÝDAVKY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1 098 561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3 381 443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3 430 956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3 530 956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2 138 489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62,33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2 288 322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-149 833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93,45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KAPITÁLOVÝ ROZPOČET  (P-V)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-833 287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-2 659 877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-2 534 940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-2 534 940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-1 190 149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46,95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-1 376 888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186 739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86,44</w:t>
            </w:r>
          </w:p>
        </w:tc>
      </w:tr>
      <w:tr w:rsidR="00363142" w:rsidRPr="006A446D" w:rsidTr="00363142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lastRenderedPageBreak/>
              <w:t xml:space="preserve">PREBYTOK ALEBO SCHODOK BEŽNÉHO A KAPITÁLOVÉHO ROZPOĆTU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150 468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-1 349 710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-1 349 710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-1 406 667   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132 116   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-9,79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-696 436   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828 552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-18,97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 xml:space="preserve">FINANČNÉ OPERÁCIE- PRÍJMOVÉ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234 782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1 734 960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1 734 960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1 791 917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1 345 853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77,57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1 259 943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85 910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106,82</w:t>
            </w:r>
          </w:p>
        </w:tc>
      </w:tr>
      <w:tr w:rsidR="00363142" w:rsidRPr="006A446D" w:rsidTr="00363142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FINANČNÉ OPERÁCIE-VYDAVKOVÉ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385 250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385 250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439 015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113,96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454 840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-15 825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96,52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sz w:val="16"/>
                <w:szCs w:val="16"/>
              </w:rPr>
              <w:t>FINANČNÉ OPERÁCIE-(P-V)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-150 468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1 349 710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1 349 710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1 406 667   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906 838   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67,19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805 103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101 735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112,64</w:t>
            </w:r>
          </w:p>
        </w:tc>
      </w:tr>
      <w:tr w:rsidR="00363142" w:rsidRPr="006A446D" w:rsidTr="0036314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PRÍJMY CELKOM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12 594 799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15 462 755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15 941 354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16 431 687   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15 781 396   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99,00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14 209 483   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1 571 913   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111,06</w:t>
            </w:r>
          </w:p>
        </w:tc>
      </w:tr>
      <w:tr w:rsidR="00363142" w:rsidRPr="006A446D" w:rsidTr="00363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VÝDAVKY CELKOM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12 594 799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15 462 755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15 941 354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16 431 687   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14 742 442   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92,48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 xml:space="preserve">14 100 816   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641 626   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104,55</w:t>
            </w:r>
          </w:p>
        </w:tc>
      </w:tr>
      <w:tr w:rsidR="00363142" w:rsidRPr="006A446D" w:rsidTr="00363142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:rsidR="00363142" w:rsidRPr="002D5945" w:rsidRDefault="00363142" w:rsidP="00363142">
            <w:pPr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D5945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PRÍJMY - VÝDAVKY  (P - V)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   </w:t>
            </w:r>
          </w:p>
        </w:tc>
        <w:tc>
          <w:tcPr>
            <w:tcW w:w="992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   </w:t>
            </w:r>
          </w:p>
        </w:tc>
        <w:tc>
          <w:tcPr>
            <w:tcW w:w="1138" w:type="dxa"/>
            <w:vAlign w:val="center"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8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1 038 954</w:t>
            </w:r>
          </w:p>
        </w:tc>
        <w:tc>
          <w:tcPr>
            <w:tcW w:w="71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108 667</w:t>
            </w:r>
          </w:p>
        </w:tc>
        <w:tc>
          <w:tcPr>
            <w:tcW w:w="999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930 287</w:t>
            </w:r>
          </w:p>
        </w:tc>
        <w:tc>
          <w:tcPr>
            <w:tcW w:w="771" w:type="dxa"/>
            <w:noWrap/>
            <w:vAlign w:val="center"/>
            <w:hideMark/>
          </w:tcPr>
          <w:p w:rsidR="00363142" w:rsidRPr="00363142" w:rsidRDefault="00363142" w:rsidP="003631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6314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956,09</w:t>
            </w:r>
          </w:p>
        </w:tc>
      </w:tr>
    </w:tbl>
    <w:p w:rsidR="001736D6" w:rsidRDefault="001736D6" w:rsidP="001736D6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1736D6" w:rsidRPr="000750E4" w:rsidRDefault="00C22A6D" w:rsidP="003308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750E4">
        <w:rPr>
          <w:rFonts w:ascii="Times New Roman" w:hAnsi="Times New Roman" w:cs="Times New Roman"/>
          <w:bCs/>
        </w:rPr>
        <w:t xml:space="preserve">Pôvodne plánované bežné príjmy a </w:t>
      </w:r>
      <w:r w:rsidR="001736D6" w:rsidRPr="000750E4">
        <w:rPr>
          <w:rFonts w:ascii="Times New Roman" w:hAnsi="Times New Roman" w:cs="Times New Roman"/>
          <w:bCs/>
        </w:rPr>
        <w:t>výdavky, kapitálové príjmy a výdavky, finančné operácie príjmové</w:t>
      </w:r>
      <w:r w:rsidRPr="000750E4">
        <w:rPr>
          <w:rFonts w:ascii="Times New Roman" w:hAnsi="Times New Roman" w:cs="Times New Roman"/>
          <w:bCs/>
        </w:rPr>
        <w:t xml:space="preserve"> a výdavkové boli </w:t>
      </w:r>
      <w:r w:rsidR="005D596B">
        <w:rPr>
          <w:rFonts w:ascii="Times New Roman" w:hAnsi="Times New Roman" w:cs="Times New Roman"/>
          <w:bCs/>
        </w:rPr>
        <w:t xml:space="preserve">postupnými </w:t>
      </w:r>
      <w:r w:rsidR="006A446D" w:rsidRPr="000750E4">
        <w:rPr>
          <w:rFonts w:ascii="Times New Roman" w:hAnsi="Times New Roman" w:cs="Times New Roman"/>
          <w:bCs/>
        </w:rPr>
        <w:t xml:space="preserve">zmenami rozpočtu </w:t>
      </w:r>
      <w:r w:rsidRPr="000750E4">
        <w:rPr>
          <w:rFonts w:ascii="Times New Roman" w:hAnsi="Times New Roman" w:cs="Times New Roman"/>
          <w:bCs/>
        </w:rPr>
        <w:t>navyšované.</w:t>
      </w:r>
      <w:r w:rsidR="001736D6" w:rsidRPr="000750E4">
        <w:rPr>
          <w:rFonts w:ascii="Times New Roman" w:hAnsi="Times New Roman" w:cs="Times New Roman"/>
          <w:bCs/>
        </w:rPr>
        <w:t xml:space="preserve"> Bežný rozpočet dosiahol </w:t>
      </w:r>
      <w:r w:rsidR="00F40424">
        <w:rPr>
          <w:rFonts w:ascii="Times New Roman" w:hAnsi="Times New Roman" w:cs="Times New Roman"/>
          <w:bCs/>
        </w:rPr>
        <w:t>vyšší</w:t>
      </w:r>
      <w:r w:rsidR="001736D6" w:rsidRPr="000750E4">
        <w:rPr>
          <w:rFonts w:ascii="Times New Roman" w:hAnsi="Times New Roman" w:cs="Times New Roman"/>
          <w:bCs/>
        </w:rPr>
        <w:t xml:space="preserve"> pre</w:t>
      </w:r>
      <w:r w:rsidR="00363142">
        <w:rPr>
          <w:rFonts w:ascii="Times New Roman" w:hAnsi="Times New Roman" w:cs="Times New Roman"/>
          <w:bCs/>
        </w:rPr>
        <w:t>bytok oproti prvotnému schválen</w:t>
      </w:r>
      <w:r w:rsidR="00441403">
        <w:rPr>
          <w:rFonts w:ascii="Times New Roman" w:hAnsi="Times New Roman" w:cs="Times New Roman"/>
          <w:bCs/>
        </w:rPr>
        <w:t>ému</w:t>
      </w:r>
      <w:r w:rsidR="001736D6" w:rsidRPr="000750E4">
        <w:rPr>
          <w:rFonts w:ascii="Times New Roman" w:hAnsi="Times New Roman" w:cs="Times New Roman"/>
          <w:bCs/>
        </w:rPr>
        <w:t xml:space="preserve">, kapitálový rozpočet dosiahol </w:t>
      </w:r>
      <w:r w:rsidR="005D596B">
        <w:rPr>
          <w:rFonts w:ascii="Times New Roman" w:hAnsi="Times New Roman" w:cs="Times New Roman"/>
          <w:bCs/>
        </w:rPr>
        <w:t>nižší</w:t>
      </w:r>
      <w:r w:rsidR="006A446D" w:rsidRPr="000750E4">
        <w:rPr>
          <w:rFonts w:ascii="Times New Roman" w:hAnsi="Times New Roman" w:cs="Times New Roman"/>
          <w:bCs/>
        </w:rPr>
        <w:t xml:space="preserve"> schodok ako predpoklad</w:t>
      </w:r>
      <w:r w:rsidR="005D596B">
        <w:rPr>
          <w:rFonts w:ascii="Times New Roman" w:hAnsi="Times New Roman" w:cs="Times New Roman"/>
          <w:bCs/>
        </w:rPr>
        <w:t xml:space="preserve"> pri I., II., III. zmene</w:t>
      </w:r>
      <w:r w:rsidR="001736D6" w:rsidRPr="000750E4">
        <w:rPr>
          <w:rFonts w:ascii="Times New Roman" w:hAnsi="Times New Roman" w:cs="Times New Roman"/>
          <w:bCs/>
        </w:rPr>
        <w:t>, finančné operácie dosiahli</w:t>
      </w:r>
      <w:r w:rsidR="00F40424">
        <w:rPr>
          <w:rFonts w:ascii="Times New Roman" w:hAnsi="Times New Roman" w:cs="Times New Roman"/>
          <w:bCs/>
        </w:rPr>
        <w:t xml:space="preserve"> nižší </w:t>
      </w:r>
      <w:r w:rsidR="006A446D" w:rsidRPr="000750E4">
        <w:rPr>
          <w:rFonts w:ascii="Times New Roman" w:hAnsi="Times New Roman" w:cs="Times New Roman"/>
          <w:bCs/>
        </w:rPr>
        <w:t>schodok</w:t>
      </w:r>
      <w:r w:rsidR="001736D6" w:rsidRPr="000750E4">
        <w:rPr>
          <w:rFonts w:ascii="Times New Roman" w:hAnsi="Times New Roman" w:cs="Times New Roman"/>
          <w:bCs/>
        </w:rPr>
        <w:t xml:space="preserve"> oproti </w:t>
      </w:r>
      <w:r w:rsidR="00363142">
        <w:rPr>
          <w:rFonts w:ascii="Times New Roman" w:hAnsi="Times New Roman" w:cs="Times New Roman"/>
          <w:bCs/>
        </w:rPr>
        <w:t>II. zmene rozpočtu</w:t>
      </w:r>
      <w:r w:rsidR="001736D6" w:rsidRPr="000750E4">
        <w:rPr>
          <w:rFonts w:ascii="Times New Roman" w:hAnsi="Times New Roman" w:cs="Times New Roman"/>
          <w:bCs/>
        </w:rPr>
        <w:t xml:space="preserve">. Celkový hospodársky výsledok dosiahol prebytok oproti pôvodne plánovanému vyrovnanému rozpočtu. </w:t>
      </w:r>
    </w:p>
    <w:p w:rsidR="00A54BC0" w:rsidRPr="000750E4" w:rsidRDefault="00A54BC0" w:rsidP="00330817">
      <w:pPr>
        <w:pStyle w:val="Default"/>
        <w:jc w:val="both"/>
        <w:rPr>
          <w:iCs/>
          <w:sz w:val="22"/>
          <w:szCs w:val="22"/>
        </w:rPr>
      </w:pPr>
    </w:p>
    <w:p w:rsidR="003A29E8" w:rsidRPr="000750E4" w:rsidRDefault="0013219F" w:rsidP="007336AF">
      <w:pPr>
        <w:pStyle w:val="Default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</w:r>
      <w:r w:rsidR="008B651E" w:rsidRPr="002D5945">
        <w:rPr>
          <w:b/>
          <w:iCs/>
          <w:sz w:val="22"/>
          <w:szCs w:val="22"/>
        </w:rPr>
        <w:t>Bežný rozpočet</w:t>
      </w:r>
      <w:r w:rsidR="008B651E" w:rsidRPr="000750E4">
        <w:rPr>
          <w:iCs/>
          <w:sz w:val="22"/>
          <w:szCs w:val="22"/>
        </w:rPr>
        <w:t xml:space="preserve"> na rok 201</w:t>
      </w:r>
      <w:r w:rsidR="00363142">
        <w:rPr>
          <w:iCs/>
          <w:sz w:val="22"/>
          <w:szCs w:val="22"/>
        </w:rPr>
        <w:t>9</w:t>
      </w:r>
      <w:r w:rsidR="008B651E" w:rsidRPr="000750E4">
        <w:rPr>
          <w:iCs/>
          <w:sz w:val="22"/>
          <w:szCs w:val="22"/>
        </w:rPr>
        <w:t xml:space="preserve"> </w:t>
      </w:r>
      <w:r w:rsidRPr="000750E4">
        <w:rPr>
          <w:iCs/>
          <w:sz w:val="22"/>
          <w:szCs w:val="22"/>
        </w:rPr>
        <w:t xml:space="preserve">bol pôvodne schválený ako </w:t>
      </w:r>
      <w:r w:rsidR="00D27634">
        <w:rPr>
          <w:iCs/>
          <w:sz w:val="22"/>
          <w:szCs w:val="22"/>
        </w:rPr>
        <w:t>prebytkový</w:t>
      </w:r>
      <w:r w:rsidR="006A446D" w:rsidRPr="000750E4">
        <w:rPr>
          <w:iCs/>
          <w:sz w:val="22"/>
          <w:szCs w:val="22"/>
        </w:rPr>
        <w:t xml:space="preserve"> a</w:t>
      </w:r>
      <w:r w:rsidR="008B651E" w:rsidRPr="000750E4">
        <w:rPr>
          <w:iCs/>
          <w:sz w:val="22"/>
          <w:szCs w:val="22"/>
        </w:rPr>
        <w:t xml:space="preserve"> priebežnými úpravami v rozpočtovom roku, </w:t>
      </w:r>
      <w:proofErr w:type="spellStart"/>
      <w:r w:rsidR="008B651E" w:rsidRPr="000750E4">
        <w:rPr>
          <w:iCs/>
          <w:sz w:val="22"/>
          <w:szCs w:val="22"/>
        </w:rPr>
        <w:t>o.i</w:t>
      </w:r>
      <w:proofErr w:type="spellEnd"/>
      <w:r w:rsidR="008B651E" w:rsidRPr="000750E4">
        <w:rPr>
          <w:iCs/>
          <w:sz w:val="22"/>
          <w:szCs w:val="22"/>
        </w:rPr>
        <w:t xml:space="preserve">. aj </w:t>
      </w:r>
      <w:r w:rsidRPr="000750E4">
        <w:rPr>
          <w:iCs/>
          <w:sz w:val="22"/>
          <w:szCs w:val="22"/>
        </w:rPr>
        <w:t xml:space="preserve">v zmysle kompetencií </w:t>
      </w:r>
      <w:r w:rsidR="008B651E" w:rsidRPr="000750E4">
        <w:rPr>
          <w:iCs/>
          <w:sz w:val="22"/>
          <w:szCs w:val="22"/>
        </w:rPr>
        <w:t xml:space="preserve">primátora mesta, </w:t>
      </w:r>
      <w:r w:rsidRPr="000750E4">
        <w:rPr>
          <w:iCs/>
          <w:sz w:val="22"/>
          <w:szCs w:val="22"/>
        </w:rPr>
        <w:t xml:space="preserve">bol poslednou zmenou schválený prebytok vo výške </w:t>
      </w:r>
      <w:r w:rsidR="008230B4">
        <w:rPr>
          <w:iCs/>
          <w:sz w:val="22"/>
          <w:szCs w:val="22"/>
        </w:rPr>
        <w:t xml:space="preserve">1.128.273€ (r.2018 </w:t>
      </w:r>
      <w:r w:rsidR="008230B4" w:rsidRPr="008230B4">
        <w:rPr>
          <w:iCs/>
          <w:sz w:val="22"/>
          <w:szCs w:val="22"/>
        </w:rPr>
        <w:t xml:space="preserve">364.445€, </w:t>
      </w:r>
      <w:r w:rsidR="00F40424">
        <w:rPr>
          <w:iCs/>
          <w:sz w:val="22"/>
          <w:szCs w:val="22"/>
        </w:rPr>
        <w:t xml:space="preserve">r.2017 762.446€, </w:t>
      </w:r>
      <w:r w:rsidR="00702199" w:rsidRPr="000750E4">
        <w:rPr>
          <w:iCs/>
          <w:sz w:val="22"/>
          <w:szCs w:val="22"/>
        </w:rPr>
        <w:t>r.2016 1.026.642€, r. 2</w:t>
      </w:r>
      <w:r w:rsidR="00C22A6D" w:rsidRPr="000750E4">
        <w:rPr>
          <w:iCs/>
          <w:sz w:val="22"/>
          <w:szCs w:val="22"/>
        </w:rPr>
        <w:t xml:space="preserve">015 </w:t>
      </w:r>
      <w:r w:rsidR="008B651E" w:rsidRPr="000750E4">
        <w:rPr>
          <w:iCs/>
          <w:sz w:val="22"/>
          <w:szCs w:val="22"/>
        </w:rPr>
        <w:t>683.379</w:t>
      </w:r>
      <w:r w:rsidRPr="000750E4">
        <w:rPr>
          <w:iCs/>
          <w:sz w:val="22"/>
          <w:szCs w:val="22"/>
        </w:rPr>
        <w:t>€</w:t>
      </w:r>
      <w:r w:rsidR="00C22A6D" w:rsidRPr="000750E4">
        <w:rPr>
          <w:iCs/>
          <w:sz w:val="22"/>
          <w:szCs w:val="22"/>
        </w:rPr>
        <w:t>)</w:t>
      </w:r>
      <w:r w:rsidR="00D27634">
        <w:rPr>
          <w:iCs/>
          <w:sz w:val="22"/>
          <w:szCs w:val="22"/>
        </w:rPr>
        <w:t>. S</w:t>
      </w:r>
      <w:r w:rsidRPr="000750E4">
        <w:rPr>
          <w:iCs/>
          <w:sz w:val="22"/>
          <w:szCs w:val="22"/>
        </w:rPr>
        <w:t xml:space="preserve">kutočne </w:t>
      </w:r>
      <w:r w:rsidR="00D27634">
        <w:rPr>
          <w:iCs/>
          <w:sz w:val="22"/>
          <w:szCs w:val="22"/>
        </w:rPr>
        <w:t xml:space="preserve">bol </w:t>
      </w:r>
      <w:r w:rsidR="003A29E8" w:rsidRPr="000750E4">
        <w:rPr>
          <w:b/>
          <w:iCs/>
          <w:sz w:val="22"/>
          <w:szCs w:val="22"/>
        </w:rPr>
        <w:t>dosiahnutý prebytok</w:t>
      </w:r>
      <w:r w:rsidRPr="000750E4">
        <w:rPr>
          <w:b/>
          <w:iCs/>
          <w:sz w:val="22"/>
          <w:szCs w:val="22"/>
        </w:rPr>
        <w:t xml:space="preserve"> </w:t>
      </w:r>
      <w:r w:rsidR="003A29E8" w:rsidRPr="000750E4">
        <w:rPr>
          <w:b/>
          <w:iCs/>
          <w:sz w:val="22"/>
          <w:szCs w:val="22"/>
        </w:rPr>
        <w:t xml:space="preserve">bežného rozpočtu </w:t>
      </w:r>
      <w:r w:rsidR="00D27634">
        <w:rPr>
          <w:b/>
          <w:iCs/>
          <w:sz w:val="22"/>
          <w:szCs w:val="22"/>
        </w:rPr>
        <w:t xml:space="preserve">vo </w:t>
      </w:r>
      <w:r w:rsidRPr="000750E4">
        <w:rPr>
          <w:b/>
          <w:iCs/>
          <w:sz w:val="22"/>
          <w:szCs w:val="22"/>
        </w:rPr>
        <w:t xml:space="preserve">výške </w:t>
      </w:r>
      <w:r w:rsidR="008230B4">
        <w:rPr>
          <w:b/>
          <w:iCs/>
          <w:sz w:val="22"/>
          <w:szCs w:val="22"/>
        </w:rPr>
        <w:t xml:space="preserve">1.322.264€ (r.2018 680.452€, </w:t>
      </w:r>
      <w:r w:rsidR="00F40424">
        <w:rPr>
          <w:b/>
          <w:iCs/>
          <w:sz w:val="22"/>
          <w:szCs w:val="22"/>
        </w:rPr>
        <w:t>r.2017 820.610€, r.</w:t>
      </w:r>
      <w:r w:rsidR="00702199" w:rsidRPr="000750E4">
        <w:rPr>
          <w:b/>
          <w:iCs/>
          <w:sz w:val="22"/>
          <w:szCs w:val="22"/>
        </w:rPr>
        <w:t>2016 1.088.181€, r.2</w:t>
      </w:r>
      <w:r w:rsidR="00F400C8" w:rsidRPr="000750E4">
        <w:rPr>
          <w:b/>
          <w:iCs/>
          <w:sz w:val="22"/>
          <w:szCs w:val="22"/>
        </w:rPr>
        <w:t xml:space="preserve">015 </w:t>
      </w:r>
      <w:r w:rsidR="008B651E" w:rsidRPr="000750E4">
        <w:rPr>
          <w:b/>
          <w:iCs/>
          <w:sz w:val="22"/>
          <w:szCs w:val="22"/>
        </w:rPr>
        <w:t>796.947</w:t>
      </w:r>
      <w:r w:rsidRPr="000750E4">
        <w:rPr>
          <w:b/>
          <w:iCs/>
          <w:sz w:val="22"/>
          <w:szCs w:val="22"/>
        </w:rPr>
        <w:t>€</w:t>
      </w:r>
      <w:r w:rsidR="00F400C8" w:rsidRPr="000750E4">
        <w:rPr>
          <w:b/>
          <w:iCs/>
          <w:sz w:val="22"/>
          <w:szCs w:val="22"/>
        </w:rPr>
        <w:t>)</w:t>
      </w:r>
      <w:r w:rsidR="003A29E8" w:rsidRPr="000750E4">
        <w:rPr>
          <w:b/>
          <w:iCs/>
          <w:sz w:val="22"/>
          <w:szCs w:val="22"/>
        </w:rPr>
        <w:t xml:space="preserve">. </w:t>
      </w:r>
      <w:r w:rsidR="00F400C8" w:rsidRPr="000750E4">
        <w:rPr>
          <w:iCs/>
          <w:sz w:val="22"/>
          <w:szCs w:val="22"/>
        </w:rPr>
        <w:t xml:space="preserve">Prebytok bežného rozpočtu v medziročnom porovnaní </w:t>
      </w:r>
      <w:r w:rsidR="005D596B">
        <w:rPr>
          <w:iCs/>
          <w:sz w:val="22"/>
          <w:szCs w:val="22"/>
        </w:rPr>
        <w:t>stúpol</w:t>
      </w:r>
      <w:r w:rsidR="00F400C8" w:rsidRPr="000750E4">
        <w:rPr>
          <w:iCs/>
          <w:sz w:val="22"/>
          <w:szCs w:val="22"/>
        </w:rPr>
        <w:t xml:space="preserve"> o</w:t>
      </w:r>
      <w:r w:rsidR="008230B4">
        <w:rPr>
          <w:iCs/>
          <w:sz w:val="22"/>
          <w:szCs w:val="22"/>
        </w:rPr>
        <w:t xml:space="preserve"> 641.813€ (r.2018 398.001€, </w:t>
      </w:r>
      <w:r w:rsidR="00D27634">
        <w:rPr>
          <w:iCs/>
          <w:sz w:val="22"/>
          <w:szCs w:val="22"/>
        </w:rPr>
        <w:t xml:space="preserve">r. 2017 140.158€, </w:t>
      </w:r>
      <w:r w:rsidR="00F40424">
        <w:rPr>
          <w:iCs/>
          <w:sz w:val="22"/>
          <w:szCs w:val="22"/>
        </w:rPr>
        <w:t>r.201</w:t>
      </w:r>
      <w:r w:rsidR="008230B4">
        <w:rPr>
          <w:iCs/>
          <w:sz w:val="22"/>
          <w:szCs w:val="22"/>
        </w:rPr>
        <w:t>6</w:t>
      </w:r>
      <w:r w:rsidR="00F40424">
        <w:rPr>
          <w:iCs/>
          <w:sz w:val="22"/>
          <w:szCs w:val="22"/>
        </w:rPr>
        <w:t xml:space="preserve"> </w:t>
      </w:r>
      <w:r w:rsidR="00702199" w:rsidRPr="000750E4">
        <w:rPr>
          <w:iCs/>
          <w:sz w:val="22"/>
          <w:szCs w:val="22"/>
        </w:rPr>
        <w:t>267.571</w:t>
      </w:r>
      <w:r w:rsidR="00F40424">
        <w:rPr>
          <w:iCs/>
          <w:sz w:val="22"/>
          <w:szCs w:val="22"/>
        </w:rPr>
        <w:t>€).</w:t>
      </w:r>
    </w:p>
    <w:p w:rsidR="007336AF" w:rsidRPr="000750E4" w:rsidRDefault="007336AF" w:rsidP="007336AF">
      <w:pPr>
        <w:pStyle w:val="Default"/>
        <w:jc w:val="both"/>
        <w:rPr>
          <w:b/>
          <w:iCs/>
          <w:sz w:val="22"/>
          <w:szCs w:val="22"/>
        </w:rPr>
      </w:pPr>
    </w:p>
    <w:p w:rsidR="003A29E8" w:rsidRPr="000750E4" w:rsidRDefault="003A29E8" w:rsidP="00330817">
      <w:pPr>
        <w:pStyle w:val="Default"/>
        <w:jc w:val="both"/>
        <w:rPr>
          <w:iCs/>
          <w:sz w:val="22"/>
          <w:szCs w:val="22"/>
        </w:rPr>
      </w:pPr>
      <w:r w:rsidRPr="000750E4">
        <w:rPr>
          <w:b/>
          <w:iCs/>
          <w:sz w:val="22"/>
          <w:szCs w:val="22"/>
        </w:rPr>
        <w:tab/>
      </w:r>
      <w:r w:rsidR="004502E3" w:rsidRPr="001E585B">
        <w:rPr>
          <w:b/>
          <w:iCs/>
          <w:sz w:val="22"/>
          <w:szCs w:val="22"/>
        </w:rPr>
        <w:t>Kapitálový rozpočet</w:t>
      </w:r>
      <w:r w:rsidR="004502E3" w:rsidRPr="00520973">
        <w:rPr>
          <w:iCs/>
          <w:sz w:val="22"/>
          <w:szCs w:val="22"/>
        </w:rPr>
        <w:t xml:space="preserve"> na</w:t>
      </w:r>
      <w:r w:rsidR="004502E3" w:rsidRPr="000750E4">
        <w:rPr>
          <w:iCs/>
          <w:sz w:val="22"/>
          <w:szCs w:val="22"/>
        </w:rPr>
        <w:t xml:space="preserve"> rok 201</w:t>
      </w:r>
      <w:r w:rsidR="00B43659">
        <w:rPr>
          <w:iCs/>
          <w:sz w:val="22"/>
          <w:szCs w:val="22"/>
        </w:rPr>
        <w:t>9</w:t>
      </w:r>
      <w:r w:rsidRPr="000750E4">
        <w:rPr>
          <w:iCs/>
          <w:sz w:val="22"/>
          <w:szCs w:val="22"/>
        </w:rPr>
        <w:t xml:space="preserve"> bol pôvodne schválený ako schodkový</w:t>
      </w:r>
      <w:r w:rsidR="00702199" w:rsidRPr="000750E4">
        <w:rPr>
          <w:iCs/>
          <w:sz w:val="22"/>
          <w:szCs w:val="22"/>
        </w:rPr>
        <w:t xml:space="preserve"> a</w:t>
      </w:r>
      <w:r w:rsidRPr="000750E4">
        <w:rPr>
          <w:iCs/>
          <w:sz w:val="22"/>
          <w:szCs w:val="22"/>
        </w:rPr>
        <w:t xml:space="preserve"> priebežnými úpravami bol poslednou zmenou schválený schodok vo výške</w:t>
      </w:r>
      <w:r w:rsidR="00702199" w:rsidRPr="000750E4">
        <w:rPr>
          <w:iCs/>
          <w:sz w:val="22"/>
          <w:szCs w:val="22"/>
        </w:rPr>
        <w:t xml:space="preserve"> </w:t>
      </w:r>
      <w:r w:rsidR="001E585B">
        <w:rPr>
          <w:iCs/>
          <w:sz w:val="22"/>
          <w:szCs w:val="22"/>
        </w:rPr>
        <w:t xml:space="preserve">2.534.940€ (r.2018 1.537.336€, </w:t>
      </w:r>
      <w:r w:rsidR="003634E3">
        <w:rPr>
          <w:iCs/>
          <w:sz w:val="22"/>
          <w:szCs w:val="22"/>
        </w:rPr>
        <w:t xml:space="preserve">r.2017 </w:t>
      </w:r>
      <w:r w:rsidR="00702199" w:rsidRPr="000750E4">
        <w:rPr>
          <w:iCs/>
          <w:sz w:val="22"/>
          <w:szCs w:val="22"/>
        </w:rPr>
        <w:t>1.6</w:t>
      </w:r>
      <w:r w:rsidR="003634E3">
        <w:rPr>
          <w:iCs/>
          <w:sz w:val="22"/>
          <w:szCs w:val="22"/>
        </w:rPr>
        <w:t xml:space="preserve">80.258€, </w:t>
      </w:r>
      <w:r w:rsidR="00702199" w:rsidRPr="000750E4">
        <w:rPr>
          <w:iCs/>
          <w:sz w:val="22"/>
          <w:szCs w:val="22"/>
        </w:rPr>
        <w:t>r.2016</w:t>
      </w:r>
      <w:r w:rsidRPr="000750E4">
        <w:rPr>
          <w:iCs/>
          <w:sz w:val="22"/>
          <w:szCs w:val="22"/>
        </w:rPr>
        <w:t xml:space="preserve"> </w:t>
      </w:r>
      <w:r w:rsidR="00F400C8" w:rsidRPr="000750E4">
        <w:rPr>
          <w:iCs/>
          <w:sz w:val="22"/>
          <w:szCs w:val="22"/>
        </w:rPr>
        <w:t>1.436.310€</w:t>
      </w:r>
      <w:r w:rsidR="00702199" w:rsidRPr="000750E4">
        <w:rPr>
          <w:iCs/>
          <w:sz w:val="22"/>
          <w:szCs w:val="22"/>
        </w:rPr>
        <w:t>, r.</w:t>
      </w:r>
      <w:r w:rsidR="00F400C8" w:rsidRPr="000750E4">
        <w:rPr>
          <w:iCs/>
          <w:sz w:val="22"/>
          <w:szCs w:val="22"/>
        </w:rPr>
        <w:t xml:space="preserve">2015 </w:t>
      </w:r>
      <w:r w:rsidR="004502E3" w:rsidRPr="000750E4">
        <w:rPr>
          <w:iCs/>
          <w:sz w:val="22"/>
          <w:szCs w:val="22"/>
        </w:rPr>
        <w:t>2.060.816</w:t>
      </w:r>
      <w:r w:rsidRPr="000750E4">
        <w:rPr>
          <w:iCs/>
          <w:sz w:val="22"/>
          <w:szCs w:val="22"/>
        </w:rPr>
        <w:t>€</w:t>
      </w:r>
      <w:r w:rsidR="00F400C8" w:rsidRPr="000750E4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 a skutočne dosiahnutý </w:t>
      </w:r>
      <w:r w:rsidRPr="000750E4">
        <w:rPr>
          <w:b/>
          <w:iCs/>
          <w:sz w:val="22"/>
          <w:szCs w:val="22"/>
        </w:rPr>
        <w:t xml:space="preserve">schodok kapitálového rozpočtu vo výške </w:t>
      </w:r>
      <w:r w:rsidR="001E585B">
        <w:rPr>
          <w:b/>
          <w:iCs/>
          <w:sz w:val="22"/>
          <w:szCs w:val="22"/>
        </w:rPr>
        <w:t xml:space="preserve">1.190.149€ (r.2018 </w:t>
      </w:r>
      <w:r w:rsidR="003634E3">
        <w:rPr>
          <w:b/>
          <w:iCs/>
          <w:sz w:val="22"/>
          <w:szCs w:val="22"/>
        </w:rPr>
        <w:t>1.376.888€</w:t>
      </w:r>
      <w:r w:rsidR="001E585B">
        <w:rPr>
          <w:b/>
          <w:iCs/>
          <w:sz w:val="22"/>
          <w:szCs w:val="22"/>
        </w:rPr>
        <w:t xml:space="preserve">, </w:t>
      </w:r>
      <w:r w:rsidR="003634E3">
        <w:rPr>
          <w:b/>
          <w:iCs/>
          <w:sz w:val="22"/>
          <w:szCs w:val="22"/>
        </w:rPr>
        <w:t xml:space="preserve">r.2017 </w:t>
      </w:r>
      <w:r w:rsidR="00702199" w:rsidRPr="000750E4">
        <w:rPr>
          <w:b/>
          <w:iCs/>
          <w:sz w:val="22"/>
          <w:szCs w:val="22"/>
        </w:rPr>
        <w:t>593.864€</w:t>
      </w:r>
      <w:r w:rsidR="003634E3">
        <w:rPr>
          <w:b/>
          <w:iCs/>
          <w:sz w:val="22"/>
          <w:szCs w:val="22"/>
        </w:rPr>
        <w:t>, r.</w:t>
      </w:r>
      <w:r w:rsidR="00702199" w:rsidRPr="000750E4">
        <w:rPr>
          <w:b/>
          <w:iCs/>
          <w:sz w:val="22"/>
          <w:szCs w:val="22"/>
        </w:rPr>
        <w:t>2016 928.368€, r.</w:t>
      </w:r>
      <w:r w:rsidR="00F400C8" w:rsidRPr="000750E4">
        <w:rPr>
          <w:b/>
          <w:iCs/>
          <w:sz w:val="22"/>
          <w:szCs w:val="22"/>
        </w:rPr>
        <w:t xml:space="preserve">2015 </w:t>
      </w:r>
      <w:r w:rsidR="004502E3" w:rsidRPr="000750E4">
        <w:rPr>
          <w:b/>
          <w:iCs/>
          <w:sz w:val="22"/>
          <w:szCs w:val="22"/>
        </w:rPr>
        <w:t>1.177.544</w:t>
      </w:r>
      <w:r w:rsidRPr="000750E4">
        <w:rPr>
          <w:b/>
          <w:iCs/>
          <w:sz w:val="22"/>
          <w:szCs w:val="22"/>
        </w:rPr>
        <w:t>€.</w:t>
      </w:r>
      <w:r w:rsidRPr="000750E4">
        <w:rPr>
          <w:iCs/>
          <w:sz w:val="22"/>
          <w:szCs w:val="22"/>
        </w:rPr>
        <w:t xml:space="preserve"> </w:t>
      </w:r>
      <w:r w:rsidR="007F69E9" w:rsidRPr="000750E4">
        <w:rPr>
          <w:iCs/>
          <w:sz w:val="22"/>
          <w:szCs w:val="22"/>
        </w:rPr>
        <w:t>Schodok kapitál</w:t>
      </w:r>
      <w:r w:rsidR="001E585B">
        <w:rPr>
          <w:iCs/>
          <w:sz w:val="22"/>
          <w:szCs w:val="22"/>
        </w:rPr>
        <w:t xml:space="preserve">ového rozpočtu bol financovaný najmä z </w:t>
      </w:r>
      <w:r w:rsidR="007F69E9" w:rsidRPr="000750E4">
        <w:rPr>
          <w:iCs/>
          <w:sz w:val="22"/>
          <w:szCs w:val="22"/>
        </w:rPr>
        <w:t>prebytku bežného rozpočtu</w:t>
      </w:r>
      <w:r w:rsidR="008D5178">
        <w:rPr>
          <w:iCs/>
          <w:sz w:val="22"/>
          <w:szCs w:val="22"/>
        </w:rPr>
        <w:t xml:space="preserve"> a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>s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 xml:space="preserve">použitím zapojenia finančných </w:t>
      </w:r>
      <w:r w:rsidR="003634E3">
        <w:rPr>
          <w:iCs/>
          <w:sz w:val="22"/>
          <w:szCs w:val="22"/>
        </w:rPr>
        <w:t>operácií</w:t>
      </w:r>
      <w:r w:rsidR="005A603E">
        <w:rPr>
          <w:iCs/>
          <w:sz w:val="22"/>
          <w:szCs w:val="22"/>
        </w:rPr>
        <w:t xml:space="preserve"> (úverových zdrojov)</w:t>
      </w:r>
      <w:r w:rsidR="003634E3">
        <w:rPr>
          <w:iCs/>
          <w:sz w:val="22"/>
          <w:szCs w:val="22"/>
        </w:rPr>
        <w:t xml:space="preserve">. </w:t>
      </w:r>
    </w:p>
    <w:p w:rsidR="00112099" w:rsidRPr="000750E4" w:rsidRDefault="00112099" w:rsidP="00330817">
      <w:pPr>
        <w:pStyle w:val="Default"/>
        <w:jc w:val="both"/>
        <w:rPr>
          <w:iCs/>
          <w:sz w:val="22"/>
          <w:szCs w:val="22"/>
        </w:rPr>
      </w:pPr>
    </w:p>
    <w:p w:rsidR="007336AF" w:rsidRPr="000750E4" w:rsidRDefault="00112099" w:rsidP="007336AF">
      <w:pPr>
        <w:pStyle w:val="Default"/>
        <w:ind w:firstLine="708"/>
        <w:jc w:val="both"/>
        <w:rPr>
          <w:b/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Súčasťou rozpočtu mesta sú </w:t>
      </w:r>
      <w:r w:rsidRPr="002D5945">
        <w:rPr>
          <w:b/>
          <w:iCs/>
          <w:sz w:val="22"/>
          <w:szCs w:val="22"/>
        </w:rPr>
        <w:t>finančné operácie</w:t>
      </w:r>
      <w:r w:rsidRPr="000750E4">
        <w:rPr>
          <w:iCs/>
          <w:sz w:val="22"/>
          <w:szCs w:val="22"/>
        </w:rPr>
        <w:t>, ktorými sa vykonávajú prevody prostriedkov peňažných fondov a</w:t>
      </w:r>
      <w:r w:rsidR="002E34F0">
        <w:rPr>
          <w:iCs/>
          <w:sz w:val="22"/>
          <w:szCs w:val="22"/>
        </w:rPr>
        <w:t> </w:t>
      </w:r>
      <w:r w:rsidRPr="000750E4">
        <w:rPr>
          <w:iCs/>
          <w:sz w:val="22"/>
          <w:szCs w:val="22"/>
        </w:rPr>
        <w:t>realizujú sa návratné zdroj</w:t>
      </w:r>
      <w:r w:rsidR="007F69E9" w:rsidRPr="000750E4">
        <w:rPr>
          <w:iCs/>
          <w:sz w:val="22"/>
          <w:szCs w:val="22"/>
        </w:rPr>
        <w:t>e financovania a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>ich splácanie. Rozdiel medzi príjmovými a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>výdavkovými finančnými operáciami bol v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>priebehu roka použitý na financovanie prebytku bežného a</w:t>
      </w:r>
      <w:r w:rsidR="005A603E">
        <w:rPr>
          <w:iCs/>
          <w:sz w:val="22"/>
          <w:szCs w:val="22"/>
        </w:rPr>
        <w:t xml:space="preserve"> prevažne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 xml:space="preserve">kapitálového rozpočtu. </w:t>
      </w:r>
      <w:r w:rsidR="007336AF" w:rsidRPr="000750E4">
        <w:rPr>
          <w:b/>
          <w:iCs/>
          <w:sz w:val="22"/>
          <w:szCs w:val="22"/>
        </w:rPr>
        <w:t xml:space="preserve">Finančné operácie dosiahli </w:t>
      </w:r>
      <w:r w:rsidR="00702199" w:rsidRPr="000750E4">
        <w:rPr>
          <w:b/>
          <w:iCs/>
          <w:sz w:val="22"/>
          <w:szCs w:val="22"/>
        </w:rPr>
        <w:t>schodok</w:t>
      </w:r>
      <w:r w:rsidR="007336AF" w:rsidRPr="000750E4">
        <w:rPr>
          <w:b/>
          <w:iCs/>
          <w:sz w:val="22"/>
          <w:szCs w:val="22"/>
        </w:rPr>
        <w:t xml:space="preserve"> vo výške </w:t>
      </w:r>
      <w:r w:rsidR="001E585B">
        <w:rPr>
          <w:b/>
          <w:iCs/>
          <w:sz w:val="22"/>
          <w:szCs w:val="22"/>
        </w:rPr>
        <w:t xml:space="preserve">906.838€ (r.2018 805.103€, </w:t>
      </w:r>
      <w:r w:rsidR="003634E3">
        <w:rPr>
          <w:b/>
          <w:iCs/>
          <w:sz w:val="22"/>
          <w:szCs w:val="22"/>
        </w:rPr>
        <w:t xml:space="preserve">r.2017 schodok </w:t>
      </w:r>
      <w:r w:rsidR="00702199" w:rsidRPr="000750E4">
        <w:rPr>
          <w:b/>
          <w:iCs/>
          <w:sz w:val="22"/>
          <w:szCs w:val="22"/>
        </w:rPr>
        <w:t>61.035</w:t>
      </w:r>
      <w:r w:rsidR="003634E3">
        <w:rPr>
          <w:b/>
          <w:iCs/>
          <w:sz w:val="22"/>
          <w:szCs w:val="22"/>
        </w:rPr>
        <w:t xml:space="preserve">€, r.2016 prebytok 268.220, r.2015 prebytok 819.025€). </w:t>
      </w:r>
    </w:p>
    <w:p w:rsidR="003A29E8" w:rsidRPr="000750E4" w:rsidRDefault="003A29E8" w:rsidP="00330817">
      <w:pPr>
        <w:pStyle w:val="Default"/>
        <w:jc w:val="both"/>
        <w:rPr>
          <w:iCs/>
          <w:sz w:val="22"/>
          <w:szCs w:val="22"/>
        </w:rPr>
      </w:pPr>
    </w:p>
    <w:p w:rsidR="00D8301C" w:rsidRPr="000750E4" w:rsidRDefault="003A29E8" w:rsidP="000F24B9">
      <w:pPr>
        <w:pStyle w:val="Default"/>
        <w:jc w:val="both"/>
        <w:rPr>
          <w:b/>
          <w:iCs/>
          <w:sz w:val="22"/>
          <w:szCs w:val="22"/>
        </w:rPr>
      </w:pPr>
      <w:r w:rsidRPr="000750E4">
        <w:rPr>
          <w:iCs/>
          <w:sz w:val="22"/>
          <w:szCs w:val="22"/>
        </w:rPr>
        <w:tab/>
        <w:t xml:space="preserve">Výsledok hospodárenia </w:t>
      </w:r>
      <w:r w:rsidR="00AD5FB8" w:rsidRPr="000750E4">
        <w:rPr>
          <w:iCs/>
          <w:sz w:val="22"/>
          <w:szCs w:val="22"/>
        </w:rPr>
        <w:t xml:space="preserve">mesta, </w:t>
      </w:r>
      <w:r w:rsidRPr="000750E4">
        <w:rPr>
          <w:b/>
          <w:iCs/>
          <w:sz w:val="22"/>
          <w:szCs w:val="22"/>
        </w:rPr>
        <w:t xml:space="preserve">prebytok vo výške </w:t>
      </w:r>
      <w:r w:rsidR="001E585B">
        <w:rPr>
          <w:b/>
          <w:iCs/>
          <w:sz w:val="22"/>
          <w:szCs w:val="22"/>
        </w:rPr>
        <w:t>183.024,56€</w:t>
      </w:r>
      <w:r w:rsidR="005A603E">
        <w:rPr>
          <w:b/>
          <w:iCs/>
          <w:sz w:val="22"/>
          <w:szCs w:val="22"/>
        </w:rPr>
        <w:t xml:space="preserve"> (pozn. po odpočítaní prostriedkov vylúčených z prebytku hospodárenia)</w:t>
      </w:r>
      <w:r w:rsidR="001E585B">
        <w:rPr>
          <w:b/>
          <w:iCs/>
          <w:sz w:val="22"/>
          <w:szCs w:val="22"/>
        </w:rPr>
        <w:t xml:space="preserve"> (r.2018 </w:t>
      </w:r>
      <w:r w:rsidR="00E65FFC">
        <w:rPr>
          <w:b/>
          <w:iCs/>
          <w:sz w:val="22"/>
          <w:szCs w:val="22"/>
        </w:rPr>
        <w:t>108.667</w:t>
      </w:r>
      <w:r w:rsidR="00A21F7C">
        <w:rPr>
          <w:b/>
          <w:iCs/>
          <w:sz w:val="22"/>
          <w:szCs w:val="22"/>
        </w:rPr>
        <w:t>,21</w:t>
      </w:r>
      <w:r w:rsidR="001E585B">
        <w:rPr>
          <w:b/>
          <w:iCs/>
          <w:sz w:val="22"/>
          <w:szCs w:val="22"/>
        </w:rPr>
        <w:t xml:space="preserve">€, </w:t>
      </w:r>
      <w:r w:rsidR="00E65FFC">
        <w:rPr>
          <w:b/>
          <w:iCs/>
          <w:sz w:val="22"/>
          <w:szCs w:val="22"/>
        </w:rPr>
        <w:t xml:space="preserve">r.2017 165.711€, </w:t>
      </w:r>
      <w:r w:rsidR="00702199" w:rsidRPr="000750E4">
        <w:rPr>
          <w:b/>
          <w:iCs/>
          <w:sz w:val="22"/>
          <w:szCs w:val="22"/>
        </w:rPr>
        <w:t xml:space="preserve">r. 2016 </w:t>
      </w:r>
      <w:r w:rsidR="00112099" w:rsidRPr="000750E4">
        <w:rPr>
          <w:b/>
          <w:iCs/>
          <w:sz w:val="22"/>
          <w:szCs w:val="22"/>
        </w:rPr>
        <w:t>428.033</w:t>
      </w:r>
      <w:r w:rsidRPr="000750E4">
        <w:rPr>
          <w:b/>
          <w:iCs/>
          <w:sz w:val="22"/>
          <w:szCs w:val="22"/>
        </w:rPr>
        <w:t>€</w:t>
      </w:r>
      <w:r w:rsidR="00E65FFC">
        <w:rPr>
          <w:b/>
          <w:iCs/>
          <w:sz w:val="22"/>
          <w:szCs w:val="22"/>
        </w:rPr>
        <w:t>, r.2015 438.428</w:t>
      </w:r>
      <w:r w:rsidR="00702199" w:rsidRPr="000750E4">
        <w:rPr>
          <w:b/>
          <w:iCs/>
          <w:sz w:val="22"/>
          <w:szCs w:val="22"/>
        </w:rPr>
        <w:t>)</w:t>
      </w:r>
      <w:r w:rsidR="00AD5FB8" w:rsidRPr="000750E4">
        <w:rPr>
          <w:iCs/>
          <w:sz w:val="22"/>
          <w:szCs w:val="22"/>
        </w:rPr>
        <w:t xml:space="preserve">, </w:t>
      </w:r>
      <w:r w:rsidRPr="000750E4">
        <w:rPr>
          <w:sz w:val="22"/>
          <w:szCs w:val="22"/>
        </w:rPr>
        <w:t>bol zistený podľa § 2 písm. b) a</w:t>
      </w:r>
      <w:r w:rsidR="002E34F0">
        <w:rPr>
          <w:sz w:val="22"/>
          <w:szCs w:val="22"/>
        </w:rPr>
        <w:t> </w:t>
      </w:r>
      <w:r w:rsidRPr="000750E4">
        <w:rPr>
          <w:sz w:val="22"/>
          <w:szCs w:val="22"/>
        </w:rPr>
        <w:t>c) a § 10 ods. 3 písm. a) a</w:t>
      </w:r>
      <w:r w:rsidR="002E34F0">
        <w:rPr>
          <w:sz w:val="22"/>
          <w:szCs w:val="22"/>
        </w:rPr>
        <w:t> </w:t>
      </w:r>
      <w:r w:rsidRPr="000750E4">
        <w:rPr>
          <w:sz w:val="22"/>
          <w:szCs w:val="22"/>
        </w:rPr>
        <w:t>b) zákona o</w:t>
      </w:r>
      <w:r w:rsidR="002E34F0">
        <w:rPr>
          <w:sz w:val="22"/>
          <w:szCs w:val="22"/>
        </w:rPr>
        <w:t> </w:t>
      </w:r>
      <w:r w:rsidRPr="000750E4">
        <w:rPr>
          <w:sz w:val="22"/>
          <w:szCs w:val="22"/>
        </w:rPr>
        <w:t>rozpočtových pravidlách územnej samosprávy.</w:t>
      </w:r>
      <w:r w:rsidR="007F69E9" w:rsidRPr="000750E4">
        <w:rPr>
          <w:iCs/>
          <w:sz w:val="22"/>
          <w:szCs w:val="22"/>
        </w:rPr>
        <w:t xml:space="preserve"> </w:t>
      </w:r>
      <w:r w:rsidR="007336AF" w:rsidRPr="000750E4">
        <w:rPr>
          <w:iCs/>
          <w:sz w:val="22"/>
          <w:szCs w:val="22"/>
        </w:rPr>
        <w:t xml:space="preserve">Podľa </w:t>
      </w:r>
      <w:proofErr w:type="spellStart"/>
      <w:r w:rsidR="007336AF" w:rsidRPr="000750E4">
        <w:rPr>
          <w:iCs/>
          <w:sz w:val="22"/>
          <w:szCs w:val="22"/>
        </w:rPr>
        <w:t>ust</w:t>
      </w:r>
      <w:proofErr w:type="spellEnd"/>
      <w:r w:rsidR="007336AF" w:rsidRPr="000750E4">
        <w:rPr>
          <w:iCs/>
          <w:sz w:val="22"/>
          <w:szCs w:val="22"/>
        </w:rPr>
        <w:t>. § 16 ods. 6 a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7 zákona č. 583/2004 Z.z. ak možno použiť v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rozpočtovom roku v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súlade s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 xml:space="preserve">osobitným predpisom </w:t>
      </w:r>
      <w:r w:rsidR="007336AF" w:rsidRPr="002E34F0">
        <w:rPr>
          <w:iCs/>
          <w:sz w:val="22"/>
          <w:szCs w:val="22"/>
        </w:rPr>
        <w:t>nevyčerpané účelovo určené prostriedky poskytnuté v</w:t>
      </w:r>
      <w:r w:rsidR="002E34F0">
        <w:rPr>
          <w:iCs/>
          <w:sz w:val="22"/>
          <w:szCs w:val="22"/>
        </w:rPr>
        <w:t> </w:t>
      </w:r>
      <w:r w:rsidR="007336AF" w:rsidRPr="002E34F0">
        <w:rPr>
          <w:iCs/>
          <w:sz w:val="22"/>
          <w:szCs w:val="22"/>
        </w:rPr>
        <w:t>predchádzajúcom rozpočtovom roku zo štátneho rozpočtu,</w:t>
      </w:r>
      <w:r w:rsidR="007336AF" w:rsidRPr="000750E4">
        <w:rPr>
          <w:iCs/>
          <w:sz w:val="22"/>
          <w:szCs w:val="22"/>
        </w:rPr>
        <w:t xml:space="preserve"> z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rozpočtu Európskej únie alebo na základe osobitného predpisu, tieto nevyčerpané prostriedky sa na účely tvorby peňažných fondov pri hospodárení prebytku rozpočtu z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toho prebytku vylučujú. Ide o</w:t>
      </w:r>
      <w:r w:rsidR="002E34F0">
        <w:rPr>
          <w:iCs/>
          <w:sz w:val="22"/>
          <w:szCs w:val="22"/>
        </w:rPr>
        <w:t> </w:t>
      </w:r>
      <w:r w:rsidR="007336AF" w:rsidRPr="000750E4">
        <w:rPr>
          <w:iCs/>
          <w:sz w:val="22"/>
          <w:szCs w:val="22"/>
        </w:rPr>
        <w:t>nevyčerpané účelovo určené prostriedky</w:t>
      </w:r>
      <w:r w:rsidR="00D8301C" w:rsidRPr="000750E4">
        <w:rPr>
          <w:iCs/>
          <w:sz w:val="22"/>
          <w:szCs w:val="22"/>
        </w:rPr>
        <w:t xml:space="preserve"> p</w:t>
      </w:r>
      <w:r w:rsidR="007F69E9" w:rsidRPr="000750E4">
        <w:rPr>
          <w:iCs/>
          <w:sz w:val="22"/>
          <w:szCs w:val="22"/>
        </w:rPr>
        <w:t>oskytnuté v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>predchádzajúcom rozpočtovom roku zo ŠR, z</w:t>
      </w:r>
      <w:r w:rsidR="002E34F0">
        <w:rPr>
          <w:iCs/>
          <w:sz w:val="22"/>
          <w:szCs w:val="22"/>
        </w:rPr>
        <w:t> </w:t>
      </w:r>
      <w:r w:rsidR="007F69E9" w:rsidRPr="000750E4">
        <w:rPr>
          <w:iCs/>
          <w:sz w:val="22"/>
          <w:szCs w:val="22"/>
        </w:rPr>
        <w:t xml:space="preserve">rozpočtu EÚ </w:t>
      </w:r>
      <w:r w:rsidR="007F69E9" w:rsidRPr="000750E4">
        <w:rPr>
          <w:iCs/>
          <w:sz w:val="22"/>
          <w:szCs w:val="22"/>
        </w:rPr>
        <w:lastRenderedPageBreak/>
        <w:t xml:space="preserve">alebo na základe osobitného predpisu, ktoré </w:t>
      </w:r>
      <w:r w:rsidR="007F69E9" w:rsidRPr="000750E4">
        <w:rPr>
          <w:b/>
          <w:iCs/>
          <w:sz w:val="22"/>
          <w:szCs w:val="22"/>
        </w:rPr>
        <w:t xml:space="preserve">možno </w:t>
      </w:r>
      <w:r w:rsidR="00D8301C" w:rsidRPr="000750E4">
        <w:rPr>
          <w:b/>
          <w:iCs/>
          <w:sz w:val="22"/>
          <w:szCs w:val="22"/>
        </w:rPr>
        <w:t>použiť v</w:t>
      </w:r>
      <w:r w:rsidR="002E34F0">
        <w:rPr>
          <w:b/>
          <w:iCs/>
          <w:sz w:val="22"/>
          <w:szCs w:val="22"/>
        </w:rPr>
        <w:t> </w:t>
      </w:r>
      <w:r w:rsidR="00D8301C" w:rsidRPr="000750E4">
        <w:rPr>
          <w:b/>
          <w:iCs/>
          <w:sz w:val="22"/>
          <w:szCs w:val="22"/>
        </w:rPr>
        <w:t xml:space="preserve">nasledujúcom rozpočtovom roku vo výške </w:t>
      </w:r>
      <w:r w:rsidR="00294021">
        <w:rPr>
          <w:b/>
          <w:iCs/>
          <w:sz w:val="22"/>
          <w:szCs w:val="22"/>
        </w:rPr>
        <w:t xml:space="preserve">855.929,37€ (r.2018 89.604,59€, </w:t>
      </w:r>
      <w:r w:rsidR="00A21F7C">
        <w:rPr>
          <w:b/>
          <w:iCs/>
          <w:sz w:val="22"/>
          <w:szCs w:val="22"/>
        </w:rPr>
        <w:t xml:space="preserve">r.2017 31.625,67€, </w:t>
      </w:r>
      <w:r w:rsidR="00E339AA" w:rsidRPr="000750E4">
        <w:rPr>
          <w:b/>
          <w:iCs/>
          <w:sz w:val="22"/>
          <w:szCs w:val="22"/>
        </w:rPr>
        <w:t xml:space="preserve">r. 2016 </w:t>
      </w:r>
      <w:r w:rsidR="00D8301C" w:rsidRPr="000750E4">
        <w:rPr>
          <w:b/>
          <w:iCs/>
          <w:sz w:val="22"/>
          <w:szCs w:val="22"/>
        </w:rPr>
        <w:t>18.283,53€</w:t>
      </w:r>
      <w:r w:rsidR="00E339AA" w:rsidRPr="000750E4">
        <w:rPr>
          <w:b/>
          <w:iCs/>
          <w:sz w:val="22"/>
          <w:szCs w:val="22"/>
        </w:rPr>
        <w:t>)</w:t>
      </w:r>
      <w:r w:rsidR="00D8301C" w:rsidRPr="000750E4">
        <w:rPr>
          <w:iCs/>
          <w:sz w:val="22"/>
          <w:szCs w:val="22"/>
        </w:rPr>
        <w:t>. O</w:t>
      </w:r>
      <w:r w:rsidR="002E34F0">
        <w:rPr>
          <w:iCs/>
          <w:sz w:val="22"/>
          <w:szCs w:val="22"/>
        </w:rPr>
        <w:t> </w:t>
      </w:r>
      <w:r w:rsidR="00D8301C" w:rsidRPr="000750E4">
        <w:rPr>
          <w:iCs/>
          <w:sz w:val="22"/>
          <w:szCs w:val="22"/>
        </w:rPr>
        <w:t>túto sumu sa pre tvorbu peňažných fondov upraví zostatok finančných prostriedkov, ktorý v</w:t>
      </w:r>
      <w:r w:rsidR="002E34F0">
        <w:rPr>
          <w:iCs/>
          <w:sz w:val="22"/>
          <w:szCs w:val="22"/>
        </w:rPr>
        <w:t> </w:t>
      </w:r>
      <w:r w:rsidR="00D8301C" w:rsidRPr="000750E4">
        <w:rPr>
          <w:iCs/>
          <w:sz w:val="22"/>
          <w:szCs w:val="22"/>
        </w:rPr>
        <w:t>konečnom zúčtovaní predstavuje sumu</w:t>
      </w:r>
      <w:r w:rsidR="00E339AA" w:rsidRPr="000750E4">
        <w:rPr>
          <w:iCs/>
          <w:sz w:val="22"/>
          <w:szCs w:val="22"/>
        </w:rPr>
        <w:t xml:space="preserve"> </w:t>
      </w:r>
      <w:r w:rsidR="00457F05">
        <w:rPr>
          <w:iCs/>
          <w:sz w:val="22"/>
          <w:szCs w:val="22"/>
        </w:rPr>
        <w:t>18</w:t>
      </w:r>
      <w:r w:rsidR="00A67248">
        <w:rPr>
          <w:iCs/>
          <w:sz w:val="22"/>
          <w:szCs w:val="22"/>
        </w:rPr>
        <w:t>3</w:t>
      </w:r>
      <w:r w:rsidR="00457F05">
        <w:rPr>
          <w:iCs/>
          <w:sz w:val="22"/>
          <w:szCs w:val="22"/>
        </w:rPr>
        <w:t>.02</w:t>
      </w:r>
      <w:r w:rsidR="00A67248">
        <w:rPr>
          <w:iCs/>
          <w:sz w:val="22"/>
          <w:szCs w:val="22"/>
        </w:rPr>
        <w:t>4</w:t>
      </w:r>
      <w:r w:rsidR="00457F05">
        <w:rPr>
          <w:iCs/>
          <w:sz w:val="22"/>
          <w:szCs w:val="22"/>
        </w:rPr>
        <w:t>,</w:t>
      </w:r>
      <w:r w:rsidR="00A67248">
        <w:rPr>
          <w:iCs/>
          <w:sz w:val="22"/>
          <w:szCs w:val="22"/>
        </w:rPr>
        <w:t>56</w:t>
      </w:r>
      <w:r w:rsidR="00457F05">
        <w:rPr>
          <w:iCs/>
          <w:sz w:val="22"/>
          <w:szCs w:val="22"/>
        </w:rPr>
        <w:t xml:space="preserve">€ (r.2018 19.062,62€, </w:t>
      </w:r>
      <w:r w:rsidR="00A21F7C">
        <w:rPr>
          <w:iCs/>
          <w:sz w:val="22"/>
          <w:szCs w:val="22"/>
        </w:rPr>
        <w:t xml:space="preserve">r.2017 </w:t>
      </w:r>
      <w:r w:rsidR="00E339AA" w:rsidRPr="000750E4">
        <w:rPr>
          <w:iCs/>
          <w:sz w:val="22"/>
          <w:szCs w:val="22"/>
        </w:rPr>
        <w:t>165.711,11€</w:t>
      </w:r>
      <w:r w:rsidR="00A21F7C">
        <w:rPr>
          <w:iCs/>
          <w:sz w:val="22"/>
          <w:szCs w:val="22"/>
        </w:rPr>
        <w:t xml:space="preserve">, </w:t>
      </w:r>
      <w:r w:rsidR="00E339AA" w:rsidRPr="000750E4">
        <w:rPr>
          <w:iCs/>
          <w:sz w:val="22"/>
          <w:szCs w:val="22"/>
        </w:rPr>
        <w:t xml:space="preserve">r. 2016 </w:t>
      </w:r>
      <w:r w:rsidR="00D8301C" w:rsidRPr="000750E4">
        <w:rPr>
          <w:iCs/>
          <w:sz w:val="22"/>
          <w:szCs w:val="22"/>
        </w:rPr>
        <w:t>409.749,50€</w:t>
      </w:r>
      <w:r w:rsidR="00E339AA" w:rsidRPr="000750E4">
        <w:rPr>
          <w:iCs/>
          <w:sz w:val="22"/>
          <w:szCs w:val="22"/>
        </w:rPr>
        <w:t>)</w:t>
      </w:r>
      <w:r w:rsidR="00D8301C" w:rsidRPr="000750E4">
        <w:rPr>
          <w:iCs/>
          <w:sz w:val="22"/>
          <w:szCs w:val="22"/>
        </w:rPr>
        <w:t xml:space="preserve">. </w:t>
      </w:r>
      <w:r w:rsidR="00265698">
        <w:rPr>
          <w:iCs/>
          <w:sz w:val="22"/>
          <w:szCs w:val="22"/>
        </w:rPr>
        <w:t>Spracovateľ</w:t>
      </w:r>
      <w:r w:rsidR="00D8301C" w:rsidRPr="00A67248">
        <w:rPr>
          <w:iCs/>
          <w:sz w:val="22"/>
          <w:szCs w:val="22"/>
        </w:rPr>
        <w:t xml:space="preserve"> </w:t>
      </w:r>
      <w:r w:rsidR="002D5945" w:rsidRPr="00A67248">
        <w:rPr>
          <w:iCs/>
          <w:sz w:val="22"/>
          <w:szCs w:val="22"/>
        </w:rPr>
        <w:t>„</w:t>
      </w:r>
      <w:r w:rsidR="00D8301C" w:rsidRPr="000750E4">
        <w:rPr>
          <w:iCs/>
          <w:sz w:val="22"/>
          <w:szCs w:val="22"/>
        </w:rPr>
        <w:t>Záverečného účtu</w:t>
      </w:r>
      <w:r w:rsidR="002D5945">
        <w:rPr>
          <w:iCs/>
          <w:sz w:val="22"/>
          <w:szCs w:val="22"/>
        </w:rPr>
        <w:t>“</w:t>
      </w:r>
      <w:r w:rsidR="00D8301C" w:rsidRPr="000750E4">
        <w:rPr>
          <w:iCs/>
          <w:sz w:val="22"/>
          <w:szCs w:val="22"/>
        </w:rPr>
        <w:t xml:space="preserve"> navrhuje, aby </w:t>
      </w:r>
      <w:r w:rsidR="00D8301C" w:rsidRPr="000750E4">
        <w:rPr>
          <w:b/>
          <w:iCs/>
          <w:sz w:val="22"/>
          <w:szCs w:val="22"/>
        </w:rPr>
        <w:t>pomernou časťou (10%) vo výške</w:t>
      </w:r>
      <w:r w:rsidR="00A21F7C">
        <w:rPr>
          <w:b/>
          <w:iCs/>
          <w:sz w:val="22"/>
          <w:szCs w:val="22"/>
        </w:rPr>
        <w:t xml:space="preserve"> </w:t>
      </w:r>
      <w:r w:rsidR="00A67248">
        <w:rPr>
          <w:b/>
          <w:iCs/>
          <w:sz w:val="22"/>
          <w:szCs w:val="22"/>
        </w:rPr>
        <w:t xml:space="preserve">18.302,46€ (r.2018 1.906,26€, </w:t>
      </w:r>
      <w:r w:rsidR="00A21F7C">
        <w:rPr>
          <w:b/>
          <w:iCs/>
          <w:sz w:val="22"/>
          <w:szCs w:val="22"/>
        </w:rPr>
        <w:t xml:space="preserve">r.2017 13.408,54€, </w:t>
      </w:r>
      <w:r w:rsidR="00E339AA" w:rsidRPr="000750E4">
        <w:rPr>
          <w:b/>
          <w:iCs/>
          <w:sz w:val="22"/>
          <w:szCs w:val="22"/>
        </w:rPr>
        <w:t xml:space="preserve">r. 2016 </w:t>
      </w:r>
      <w:r w:rsidR="00D8301C" w:rsidRPr="000750E4">
        <w:rPr>
          <w:b/>
          <w:iCs/>
          <w:sz w:val="22"/>
          <w:szCs w:val="22"/>
        </w:rPr>
        <w:t>40.974,95€</w:t>
      </w:r>
      <w:r w:rsidR="00E339AA" w:rsidRPr="000750E4">
        <w:rPr>
          <w:b/>
          <w:iCs/>
          <w:sz w:val="22"/>
          <w:szCs w:val="22"/>
        </w:rPr>
        <w:t>)</w:t>
      </w:r>
      <w:r w:rsidR="00D8301C" w:rsidRPr="000750E4">
        <w:rPr>
          <w:b/>
          <w:iCs/>
          <w:sz w:val="22"/>
          <w:szCs w:val="22"/>
        </w:rPr>
        <w:t xml:space="preserve"> bola pridelená na tvorbu rezervného fondu a</w:t>
      </w:r>
      <w:r w:rsidR="002E34F0">
        <w:rPr>
          <w:b/>
          <w:iCs/>
          <w:sz w:val="22"/>
          <w:szCs w:val="22"/>
        </w:rPr>
        <w:t> </w:t>
      </w:r>
      <w:r w:rsidR="00D8301C" w:rsidRPr="000750E4">
        <w:rPr>
          <w:b/>
          <w:iCs/>
          <w:sz w:val="22"/>
          <w:szCs w:val="22"/>
        </w:rPr>
        <w:t xml:space="preserve">pomernou častou (90%) vo výške </w:t>
      </w:r>
      <w:r w:rsidR="00A67248">
        <w:rPr>
          <w:b/>
          <w:iCs/>
          <w:sz w:val="22"/>
          <w:szCs w:val="22"/>
        </w:rPr>
        <w:t xml:space="preserve">164.722,10€ (r.2018 17.156,36€, </w:t>
      </w:r>
      <w:r w:rsidR="00A21F7C">
        <w:rPr>
          <w:b/>
          <w:iCs/>
          <w:sz w:val="22"/>
          <w:szCs w:val="22"/>
        </w:rPr>
        <w:t xml:space="preserve">r.2017 17.120.676,90€, </w:t>
      </w:r>
      <w:r w:rsidR="00E339AA" w:rsidRPr="000750E4">
        <w:rPr>
          <w:b/>
          <w:iCs/>
          <w:sz w:val="22"/>
          <w:szCs w:val="22"/>
        </w:rPr>
        <w:t xml:space="preserve">r. 2016 </w:t>
      </w:r>
      <w:r w:rsidR="00D8301C" w:rsidRPr="000750E4">
        <w:rPr>
          <w:b/>
          <w:iCs/>
          <w:sz w:val="22"/>
          <w:szCs w:val="22"/>
        </w:rPr>
        <w:t>368.774,55€</w:t>
      </w:r>
      <w:r w:rsidR="00E339AA" w:rsidRPr="000750E4">
        <w:rPr>
          <w:b/>
          <w:iCs/>
          <w:sz w:val="22"/>
          <w:szCs w:val="22"/>
        </w:rPr>
        <w:t>)</w:t>
      </w:r>
      <w:r w:rsidR="00D8301C" w:rsidRPr="000750E4">
        <w:rPr>
          <w:b/>
          <w:iCs/>
          <w:sz w:val="22"/>
          <w:szCs w:val="22"/>
        </w:rPr>
        <w:t xml:space="preserve"> bola pridelená na tvorbu fondu rozvoja mesta. </w:t>
      </w:r>
    </w:p>
    <w:p w:rsidR="006A7C41" w:rsidRPr="000750E4" w:rsidRDefault="006A7C41" w:rsidP="00767A08">
      <w:pPr>
        <w:pStyle w:val="Default"/>
        <w:jc w:val="both"/>
        <w:rPr>
          <w:iCs/>
          <w:sz w:val="22"/>
          <w:szCs w:val="22"/>
        </w:rPr>
      </w:pPr>
    </w:p>
    <w:p w:rsidR="00305CCC" w:rsidRPr="00D85CB5" w:rsidRDefault="003A29E8" w:rsidP="00767A08">
      <w:pPr>
        <w:pStyle w:val="Default"/>
        <w:jc w:val="both"/>
        <w:rPr>
          <w:sz w:val="23"/>
          <w:szCs w:val="23"/>
        </w:rPr>
      </w:pPr>
      <w:r w:rsidRPr="000750E4">
        <w:rPr>
          <w:iCs/>
          <w:sz w:val="22"/>
          <w:szCs w:val="22"/>
        </w:rPr>
        <w:tab/>
      </w:r>
      <w:r w:rsidRPr="000750E4">
        <w:rPr>
          <w:sz w:val="22"/>
          <w:szCs w:val="22"/>
        </w:rPr>
        <w:t>Prehľad o</w:t>
      </w:r>
      <w:r w:rsidR="002E34F0">
        <w:rPr>
          <w:sz w:val="22"/>
          <w:szCs w:val="22"/>
        </w:rPr>
        <w:t> </w:t>
      </w:r>
      <w:r w:rsidRPr="000750E4">
        <w:rPr>
          <w:sz w:val="22"/>
          <w:szCs w:val="22"/>
        </w:rPr>
        <w:t>vývoji výsledku hospodárenia v</w:t>
      </w:r>
      <w:r w:rsidR="002E34F0">
        <w:rPr>
          <w:sz w:val="22"/>
          <w:szCs w:val="22"/>
        </w:rPr>
        <w:t> </w:t>
      </w:r>
      <w:r w:rsidRPr="000750E4">
        <w:rPr>
          <w:sz w:val="22"/>
          <w:szCs w:val="22"/>
        </w:rPr>
        <w:t>minulých rokoch</w:t>
      </w:r>
      <w:r w:rsidR="00305CCC" w:rsidRPr="000750E4">
        <w:rPr>
          <w:sz w:val="22"/>
          <w:szCs w:val="22"/>
        </w:rPr>
        <w:t xml:space="preserve"> :</w:t>
      </w:r>
      <w:r w:rsidR="00305CCC" w:rsidRPr="000750E4">
        <w:rPr>
          <w:sz w:val="22"/>
          <w:szCs w:val="22"/>
        </w:rPr>
        <w:tab/>
      </w:r>
      <w:r w:rsidR="00305CCC" w:rsidRPr="000750E4">
        <w:rPr>
          <w:sz w:val="22"/>
          <w:szCs w:val="22"/>
        </w:rPr>
        <w:tab/>
      </w:r>
      <w:r w:rsidR="00305CCC" w:rsidRPr="00D85CB5">
        <w:rPr>
          <w:sz w:val="23"/>
          <w:szCs w:val="23"/>
        </w:rPr>
        <w:tab/>
      </w:r>
    </w:p>
    <w:p w:rsidR="00305CCC" w:rsidRPr="00305CCC" w:rsidRDefault="00305CCC" w:rsidP="00767A08">
      <w:pPr>
        <w:pStyle w:val="Default"/>
        <w:jc w:val="both"/>
        <w:rPr>
          <w:sz w:val="18"/>
          <w:szCs w:val="18"/>
        </w:rPr>
      </w:pPr>
      <w:r>
        <w:rPr>
          <w:sz w:val="23"/>
          <w:szCs w:val="23"/>
        </w:rPr>
        <w:tab/>
      </w:r>
      <w:r w:rsidR="00DD26F9">
        <w:rPr>
          <w:sz w:val="18"/>
          <w:szCs w:val="18"/>
        </w:rPr>
        <w:t>v</w:t>
      </w:r>
      <w:r w:rsidR="002E34F0">
        <w:rPr>
          <w:sz w:val="18"/>
          <w:szCs w:val="18"/>
        </w:rPr>
        <w:t> </w:t>
      </w:r>
      <w:r w:rsidR="00DD26F9">
        <w:rPr>
          <w:sz w:val="18"/>
          <w:szCs w:val="18"/>
        </w:rPr>
        <w:t>Eur</w:t>
      </w:r>
      <w:r>
        <w:rPr>
          <w:sz w:val="23"/>
          <w:szCs w:val="23"/>
        </w:rPr>
        <w:tab/>
      </w:r>
      <w:r w:rsidR="00F34E71">
        <w:rPr>
          <w:sz w:val="23"/>
          <w:szCs w:val="23"/>
        </w:rPr>
        <w:tab/>
      </w:r>
      <w:r w:rsidR="00F34E71">
        <w:rPr>
          <w:sz w:val="23"/>
          <w:szCs w:val="23"/>
        </w:rPr>
        <w:tab/>
      </w:r>
      <w:r w:rsidR="00F34E71">
        <w:rPr>
          <w:sz w:val="23"/>
          <w:szCs w:val="23"/>
        </w:rPr>
        <w:tab/>
      </w:r>
      <w:r w:rsidR="00F34E71">
        <w:rPr>
          <w:sz w:val="23"/>
          <w:szCs w:val="23"/>
        </w:rPr>
        <w:tab/>
      </w:r>
      <w:r w:rsidR="00F34E71">
        <w:rPr>
          <w:sz w:val="23"/>
          <w:szCs w:val="23"/>
        </w:rPr>
        <w:tab/>
      </w:r>
      <w:r w:rsidR="00D61EFD">
        <w:rPr>
          <w:sz w:val="18"/>
          <w:szCs w:val="18"/>
        </w:rPr>
        <w:t>t</w:t>
      </w:r>
      <w:r w:rsidRPr="00305CCC">
        <w:rPr>
          <w:sz w:val="18"/>
          <w:szCs w:val="18"/>
        </w:rPr>
        <w:t xml:space="preserve">ab. č. </w:t>
      </w:r>
      <w:r w:rsidR="005D7F0B">
        <w:rPr>
          <w:sz w:val="18"/>
          <w:szCs w:val="18"/>
        </w:rPr>
        <w:t>9</w:t>
      </w:r>
      <w:r w:rsidRPr="00305CC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tbl>
      <w:tblPr>
        <w:tblStyle w:val="Obyajntabuka1"/>
        <w:tblW w:w="5500" w:type="dxa"/>
        <w:tblInd w:w="948" w:type="dxa"/>
        <w:tblLook w:val="04A0" w:firstRow="1" w:lastRow="0" w:firstColumn="1" w:lastColumn="0" w:noHBand="0" w:noVBand="1"/>
      </w:tblPr>
      <w:tblGrid>
        <w:gridCol w:w="1300"/>
        <w:gridCol w:w="1300"/>
        <w:gridCol w:w="1420"/>
        <w:gridCol w:w="1480"/>
      </w:tblGrid>
      <w:tr w:rsidR="00305CCC" w:rsidRPr="00305CCC" w:rsidTr="00F34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NÁZOV/ROK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Príjmy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Výdavky</w:t>
            </w:r>
          </w:p>
        </w:tc>
        <w:tc>
          <w:tcPr>
            <w:tcW w:w="1480" w:type="dxa"/>
            <w:hideMark/>
          </w:tcPr>
          <w:p w:rsidR="00305CCC" w:rsidRPr="00305CCC" w:rsidRDefault="00305CCC" w:rsidP="00305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 xml:space="preserve">rozdiel =  prebytok </w:t>
            </w:r>
          </w:p>
        </w:tc>
      </w:tr>
      <w:tr w:rsidR="00305CCC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2006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8 190 367,00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8 024 763,00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165 604</w:t>
            </w:r>
          </w:p>
        </w:tc>
      </w:tr>
      <w:tr w:rsidR="00305CCC" w:rsidRPr="00305CCC" w:rsidTr="00F34E7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2007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7 740 988,00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7 530 240,00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210 748</w:t>
            </w:r>
          </w:p>
        </w:tc>
      </w:tr>
      <w:tr w:rsidR="00305CCC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2008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9 950 873,00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9 914 625,00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36 248</w:t>
            </w:r>
          </w:p>
        </w:tc>
      </w:tr>
      <w:tr w:rsidR="00305CCC" w:rsidRPr="00305CCC" w:rsidTr="00F34E7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2009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10 820 120,00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10 517 123,00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302 997</w:t>
            </w:r>
          </w:p>
        </w:tc>
      </w:tr>
      <w:tr w:rsidR="00305CCC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2010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13 753 618,00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12 397 754,00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1 355 864</w:t>
            </w:r>
          </w:p>
        </w:tc>
      </w:tr>
      <w:tr w:rsidR="00305CCC" w:rsidRPr="00305CCC" w:rsidTr="00F34E7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12 441 273,00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11 506 595,00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934 678</w:t>
            </w:r>
          </w:p>
        </w:tc>
      </w:tr>
      <w:tr w:rsidR="00305CCC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10 859 260,00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10 828 873,00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30 387</w:t>
            </w:r>
          </w:p>
        </w:tc>
      </w:tr>
      <w:tr w:rsidR="00305CCC" w:rsidRPr="00305CCC" w:rsidTr="00F34E7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9 948 190,00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9 919 001,00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29 189</w:t>
            </w:r>
          </w:p>
        </w:tc>
      </w:tr>
      <w:tr w:rsidR="00305CCC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130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9 547 252,00</w:t>
            </w:r>
          </w:p>
        </w:tc>
        <w:tc>
          <w:tcPr>
            <w:tcW w:w="142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9 178 697,00</w:t>
            </w:r>
          </w:p>
        </w:tc>
        <w:tc>
          <w:tcPr>
            <w:tcW w:w="1480" w:type="dxa"/>
            <w:noWrap/>
            <w:hideMark/>
          </w:tcPr>
          <w:p w:rsidR="00305CCC" w:rsidRPr="00305CCC" w:rsidRDefault="00305CCC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05CCC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368 555</w:t>
            </w:r>
          </w:p>
        </w:tc>
      </w:tr>
      <w:tr w:rsidR="00DE1A31" w:rsidRPr="00305CCC" w:rsidTr="00F34E7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</w:tcPr>
          <w:p w:rsidR="00DE1A31" w:rsidRPr="00305CCC" w:rsidRDefault="00DE1A31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1300" w:type="dxa"/>
            <w:noWrap/>
          </w:tcPr>
          <w:p w:rsidR="00DE1A31" w:rsidRPr="00305CCC" w:rsidRDefault="00DE1A31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10 453 221,00</w:t>
            </w:r>
          </w:p>
        </w:tc>
        <w:tc>
          <w:tcPr>
            <w:tcW w:w="1420" w:type="dxa"/>
            <w:noWrap/>
          </w:tcPr>
          <w:p w:rsidR="00DE1A31" w:rsidRPr="00305CCC" w:rsidRDefault="00DE1A31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10 014 793,00</w:t>
            </w:r>
          </w:p>
        </w:tc>
        <w:tc>
          <w:tcPr>
            <w:tcW w:w="1480" w:type="dxa"/>
            <w:noWrap/>
          </w:tcPr>
          <w:p w:rsidR="00DE1A31" w:rsidRPr="00305CCC" w:rsidRDefault="00DE1A31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438 428</w:t>
            </w:r>
          </w:p>
        </w:tc>
      </w:tr>
      <w:tr w:rsidR="00B14F74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</w:tcPr>
          <w:p w:rsidR="00B14F74" w:rsidRDefault="00B14F74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300" w:type="dxa"/>
            <w:noWrap/>
          </w:tcPr>
          <w:p w:rsidR="00B14F74" w:rsidRDefault="00B14F74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12 345 836,00</w:t>
            </w:r>
          </w:p>
        </w:tc>
        <w:tc>
          <w:tcPr>
            <w:tcW w:w="1420" w:type="dxa"/>
            <w:noWrap/>
          </w:tcPr>
          <w:p w:rsidR="00B14F74" w:rsidRDefault="00B14F74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11 917 803,00</w:t>
            </w:r>
          </w:p>
        </w:tc>
        <w:tc>
          <w:tcPr>
            <w:tcW w:w="1480" w:type="dxa"/>
            <w:noWrap/>
          </w:tcPr>
          <w:p w:rsidR="00B14F74" w:rsidRDefault="00B14F74" w:rsidP="00305C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428 033</w:t>
            </w:r>
          </w:p>
        </w:tc>
      </w:tr>
      <w:tr w:rsidR="00E339AA" w:rsidRPr="00305CCC" w:rsidTr="00F34E7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</w:tcPr>
          <w:p w:rsidR="00E339AA" w:rsidRDefault="00E339AA" w:rsidP="00305CC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2017</w:t>
            </w:r>
          </w:p>
        </w:tc>
        <w:tc>
          <w:tcPr>
            <w:tcW w:w="1300" w:type="dxa"/>
            <w:noWrap/>
          </w:tcPr>
          <w:p w:rsidR="00E339AA" w:rsidRDefault="00E339AA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11 216 005,00</w:t>
            </w:r>
          </w:p>
        </w:tc>
        <w:tc>
          <w:tcPr>
            <w:tcW w:w="1420" w:type="dxa"/>
            <w:noWrap/>
          </w:tcPr>
          <w:p w:rsidR="00E339AA" w:rsidRDefault="00E339AA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11 050 294,00</w:t>
            </w:r>
          </w:p>
        </w:tc>
        <w:tc>
          <w:tcPr>
            <w:tcW w:w="1480" w:type="dxa"/>
            <w:noWrap/>
          </w:tcPr>
          <w:p w:rsidR="00E339AA" w:rsidRDefault="00E339AA" w:rsidP="00305C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165 711</w:t>
            </w:r>
          </w:p>
        </w:tc>
      </w:tr>
      <w:tr w:rsidR="002E34F0" w:rsidRPr="00305CCC" w:rsidTr="00F34E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</w:tcPr>
          <w:p w:rsidR="002E34F0" w:rsidRDefault="002E34F0" w:rsidP="002E34F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300" w:type="dxa"/>
            <w:noWrap/>
          </w:tcPr>
          <w:p w:rsidR="002E34F0" w:rsidRDefault="002E34F0" w:rsidP="002E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14 209 483,00</w:t>
            </w:r>
          </w:p>
        </w:tc>
        <w:tc>
          <w:tcPr>
            <w:tcW w:w="1420" w:type="dxa"/>
            <w:noWrap/>
          </w:tcPr>
          <w:p w:rsidR="002E34F0" w:rsidRDefault="002E34F0" w:rsidP="002E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14 100 816,00</w:t>
            </w:r>
          </w:p>
        </w:tc>
        <w:tc>
          <w:tcPr>
            <w:tcW w:w="1480" w:type="dxa"/>
            <w:noWrap/>
          </w:tcPr>
          <w:p w:rsidR="002E34F0" w:rsidRDefault="002E34F0" w:rsidP="002E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108 667</w:t>
            </w:r>
          </w:p>
        </w:tc>
      </w:tr>
      <w:tr w:rsidR="00CA5FF4" w:rsidRPr="00305CCC" w:rsidTr="00F34E7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</w:tcPr>
          <w:p w:rsidR="00CA5FF4" w:rsidRPr="00274998" w:rsidRDefault="00A67248" w:rsidP="002E34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274998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2019</w:t>
            </w:r>
          </w:p>
        </w:tc>
        <w:tc>
          <w:tcPr>
            <w:tcW w:w="1300" w:type="dxa"/>
            <w:noWrap/>
          </w:tcPr>
          <w:p w:rsidR="00CA5FF4" w:rsidRPr="00274998" w:rsidRDefault="00B0253E" w:rsidP="002E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</w:pPr>
            <w:r w:rsidRPr="002749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  <w:t>15.781.396,00</w:t>
            </w:r>
          </w:p>
        </w:tc>
        <w:tc>
          <w:tcPr>
            <w:tcW w:w="1420" w:type="dxa"/>
            <w:noWrap/>
          </w:tcPr>
          <w:p w:rsidR="00CA5FF4" w:rsidRPr="00274998" w:rsidRDefault="00B0253E" w:rsidP="002E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</w:pPr>
            <w:r w:rsidRPr="002749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  <w:t>14.742.442,00</w:t>
            </w:r>
          </w:p>
        </w:tc>
        <w:tc>
          <w:tcPr>
            <w:tcW w:w="1480" w:type="dxa"/>
            <w:noWrap/>
          </w:tcPr>
          <w:p w:rsidR="00CA5FF4" w:rsidRPr="00274998" w:rsidRDefault="00B0253E" w:rsidP="002E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</w:pPr>
            <w:r w:rsidRPr="002749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  <w:t>1.038.954</w:t>
            </w:r>
          </w:p>
        </w:tc>
      </w:tr>
    </w:tbl>
    <w:p w:rsidR="00305CCC" w:rsidRDefault="00305CCC" w:rsidP="00767A08">
      <w:pPr>
        <w:pStyle w:val="Default"/>
        <w:jc w:val="both"/>
        <w:rPr>
          <w:iCs/>
        </w:rPr>
      </w:pPr>
    </w:p>
    <w:p w:rsidR="000704D2" w:rsidRPr="006A7C41" w:rsidRDefault="000704D2" w:rsidP="0050438F">
      <w:pPr>
        <w:pStyle w:val="Default"/>
        <w:jc w:val="both"/>
        <w:rPr>
          <w:b/>
          <w:iCs/>
          <w:smallCaps/>
          <w:sz w:val="23"/>
          <w:szCs w:val="23"/>
        </w:rPr>
      </w:pPr>
    </w:p>
    <w:p w:rsidR="000704D2" w:rsidRPr="000750E4" w:rsidRDefault="000704D2" w:rsidP="000704D2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 xml:space="preserve">Mesto Stará Ľubovňa dosiahlo </w:t>
      </w:r>
      <w:r w:rsidR="00E339AA" w:rsidRPr="000750E4">
        <w:rPr>
          <w:rFonts w:eastAsia="Times New Roman"/>
          <w:b/>
          <w:sz w:val="22"/>
          <w:szCs w:val="22"/>
          <w:lang w:eastAsia="sk-SK"/>
        </w:rPr>
        <w:t>k 31</w:t>
      </w:r>
      <w:r w:rsidRPr="000750E4">
        <w:rPr>
          <w:rFonts w:eastAsia="Times New Roman"/>
          <w:b/>
          <w:sz w:val="22"/>
          <w:szCs w:val="22"/>
          <w:lang w:eastAsia="sk-SK"/>
        </w:rPr>
        <w:t>.</w:t>
      </w:r>
      <w:r w:rsidR="006A7C41" w:rsidRPr="000750E4">
        <w:rPr>
          <w:rFonts w:eastAsia="Times New Roman"/>
          <w:b/>
          <w:sz w:val="22"/>
          <w:szCs w:val="22"/>
          <w:lang w:eastAsia="sk-SK"/>
        </w:rPr>
        <w:t>12</w:t>
      </w:r>
      <w:r w:rsidR="00E83ABA" w:rsidRPr="000750E4">
        <w:rPr>
          <w:rFonts w:eastAsia="Times New Roman"/>
          <w:b/>
          <w:sz w:val="22"/>
          <w:szCs w:val="22"/>
          <w:lang w:eastAsia="sk-SK"/>
        </w:rPr>
        <w:t>.201</w:t>
      </w:r>
      <w:r w:rsidR="00B0253E">
        <w:rPr>
          <w:rFonts w:eastAsia="Times New Roman"/>
          <w:b/>
          <w:sz w:val="22"/>
          <w:szCs w:val="22"/>
          <w:lang w:eastAsia="sk-SK"/>
        </w:rPr>
        <w:t>9</w:t>
      </w:r>
      <w:r w:rsidRPr="000750E4">
        <w:rPr>
          <w:rFonts w:eastAsia="Times New Roman"/>
          <w:sz w:val="22"/>
          <w:szCs w:val="22"/>
          <w:lang w:eastAsia="sk-SK"/>
        </w:rPr>
        <w:t xml:space="preserve">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prebytok rozpočtového hospodárenia vo výške </w:t>
      </w:r>
      <w:r w:rsidR="00B0253E">
        <w:rPr>
          <w:rFonts w:eastAsia="Times New Roman"/>
          <w:b/>
          <w:sz w:val="22"/>
          <w:szCs w:val="22"/>
          <w:lang w:eastAsia="sk-SK"/>
        </w:rPr>
        <w:t>(</w:t>
      </w:r>
      <w:r w:rsidR="00DD178D">
        <w:rPr>
          <w:rFonts w:eastAsia="Times New Roman"/>
          <w:b/>
          <w:sz w:val="22"/>
          <w:szCs w:val="22"/>
          <w:lang w:eastAsia="sk-SK"/>
        </w:rPr>
        <w:t>108.667</w:t>
      </w:r>
      <w:r w:rsidR="00B0253E">
        <w:rPr>
          <w:rFonts w:eastAsia="Times New Roman"/>
          <w:b/>
          <w:sz w:val="22"/>
          <w:szCs w:val="22"/>
          <w:lang w:eastAsia="sk-SK"/>
        </w:rPr>
        <w:t>€) 1.038.954</w:t>
      </w:r>
      <w:r w:rsidRPr="000750E4">
        <w:rPr>
          <w:rFonts w:eastAsia="Times New Roman"/>
          <w:b/>
          <w:sz w:val="22"/>
          <w:szCs w:val="22"/>
          <w:lang w:eastAsia="sk-SK"/>
        </w:rPr>
        <w:t>€,</w:t>
      </w:r>
      <w:r w:rsidRPr="000750E4">
        <w:rPr>
          <w:rFonts w:eastAsia="Times New Roman"/>
          <w:sz w:val="22"/>
          <w:szCs w:val="22"/>
          <w:lang w:eastAsia="sk-SK"/>
        </w:rPr>
        <w:t xml:space="preserve"> ktorý pozostáva z : </w:t>
      </w:r>
    </w:p>
    <w:p w:rsidR="000704D2" w:rsidRPr="000750E4" w:rsidRDefault="000704D2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 xml:space="preserve">prebytku vo výške </w:t>
      </w:r>
      <w:r w:rsidR="00B0253E">
        <w:rPr>
          <w:rFonts w:eastAsia="Times New Roman"/>
          <w:b/>
          <w:sz w:val="22"/>
          <w:szCs w:val="22"/>
          <w:lang w:eastAsia="sk-SK"/>
        </w:rPr>
        <w:t>1.322.265€ (r.2018 680.452</w:t>
      </w:r>
      <w:r w:rsidRPr="000750E4">
        <w:rPr>
          <w:rFonts w:eastAsia="Times New Roman"/>
          <w:b/>
          <w:sz w:val="22"/>
          <w:szCs w:val="22"/>
          <w:lang w:eastAsia="sk-SK"/>
        </w:rPr>
        <w:t>€</w:t>
      </w:r>
      <w:r w:rsidR="00B0253E">
        <w:rPr>
          <w:rFonts w:eastAsia="Times New Roman"/>
          <w:b/>
          <w:sz w:val="22"/>
          <w:szCs w:val="22"/>
          <w:lang w:eastAsia="sk-SK"/>
        </w:rPr>
        <w:t>)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 v bežnej časti rozpočtu, </w:t>
      </w:r>
    </w:p>
    <w:p w:rsidR="000704D2" w:rsidRPr="000750E4" w:rsidRDefault="000704D2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 xml:space="preserve">schodku vo výške </w:t>
      </w:r>
      <w:r w:rsidR="00B0253E">
        <w:rPr>
          <w:rFonts w:eastAsia="Times New Roman"/>
          <w:b/>
          <w:sz w:val="22"/>
          <w:szCs w:val="22"/>
          <w:lang w:eastAsia="sk-SK"/>
        </w:rPr>
        <w:t>1.190.149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€ </w:t>
      </w:r>
      <w:r w:rsidR="00B0253E">
        <w:rPr>
          <w:rFonts w:eastAsia="Times New Roman"/>
          <w:b/>
          <w:sz w:val="22"/>
          <w:szCs w:val="22"/>
          <w:lang w:eastAsia="sk-SK"/>
        </w:rPr>
        <w:t xml:space="preserve">(r.2018 1.376.888€)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v kapitálovej časti rozpočtu, </w:t>
      </w:r>
    </w:p>
    <w:p w:rsidR="000704D2" w:rsidRPr="000750E4" w:rsidRDefault="002E34F0" w:rsidP="000704D2">
      <w:pPr>
        <w:pStyle w:val="Default"/>
        <w:numPr>
          <w:ilvl w:val="0"/>
          <w:numId w:val="5"/>
        </w:numPr>
        <w:jc w:val="both"/>
        <w:rPr>
          <w:rFonts w:eastAsia="Times New Roman"/>
          <w:b/>
          <w:sz w:val="22"/>
          <w:szCs w:val="22"/>
          <w:lang w:eastAsia="sk-SK"/>
        </w:rPr>
      </w:pPr>
      <w:r>
        <w:rPr>
          <w:rFonts w:eastAsia="Times New Roman"/>
          <w:b/>
          <w:sz w:val="22"/>
          <w:szCs w:val="22"/>
          <w:lang w:eastAsia="sk-SK"/>
        </w:rPr>
        <w:t>prebytok</w:t>
      </w:r>
      <w:r w:rsidR="000704D2" w:rsidRPr="000750E4">
        <w:rPr>
          <w:rFonts w:eastAsia="Times New Roman"/>
          <w:b/>
          <w:sz w:val="22"/>
          <w:szCs w:val="22"/>
          <w:lang w:eastAsia="sk-SK"/>
        </w:rPr>
        <w:t xml:space="preserve"> vo výške </w:t>
      </w:r>
      <w:r w:rsidR="00DD178D">
        <w:rPr>
          <w:rFonts w:eastAsia="Times New Roman"/>
          <w:b/>
          <w:sz w:val="22"/>
          <w:szCs w:val="22"/>
          <w:lang w:eastAsia="sk-SK"/>
        </w:rPr>
        <w:t>906.838</w:t>
      </w:r>
      <w:r w:rsidR="00B0253E">
        <w:rPr>
          <w:rFonts w:eastAsia="Times New Roman"/>
          <w:b/>
          <w:sz w:val="22"/>
          <w:szCs w:val="22"/>
          <w:lang w:eastAsia="sk-SK"/>
        </w:rPr>
        <w:t xml:space="preserve">€ (r.2018 </w:t>
      </w:r>
      <w:r>
        <w:rPr>
          <w:rFonts w:eastAsia="Times New Roman"/>
          <w:b/>
          <w:sz w:val="22"/>
          <w:szCs w:val="22"/>
          <w:lang w:eastAsia="sk-SK"/>
        </w:rPr>
        <w:t>805.103</w:t>
      </w:r>
      <w:r w:rsidR="000704D2" w:rsidRPr="000750E4">
        <w:rPr>
          <w:rFonts w:eastAsia="Times New Roman"/>
          <w:b/>
          <w:sz w:val="22"/>
          <w:szCs w:val="22"/>
          <w:lang w:eastAsia="sk-SK"/>
        </w:rPr>
        <w:t>€</w:t>
      </w:r>
      <w:r w:rsidR="00B0253E">
        <w:rPr>
          <w:rFonts w:eastAsia="Times New Roman"/>
          <w:b/>
          <w:sz w:val="22"/>
          <w:szCs w:val="22"/>
          <w:lang w:eastAsia="sk-SK"/>
        </w:rPr>
        <w:t>)</w:t>
      </w:r>
      <w:r w:rsidR="000704D2" w:rsidRPr="000750E4">
        <w:rPr>
          <w:rFonts w:eastAsia="Times New Roman"/>
          <w:b/>
          <w:sz w:val="22"/>
          <w:szCs w:val="22"/>
          <w:lang w:eastAsia="sk-SK"/>
        </w:rPr>
        <w:t xml:space="preserve"> vo finančných operáciách. </w:t>
      </w:r>
    </w:p>
    <w:p w:rsidR="000704D2" w:rsidRPr="000750E4" w:rsidRDefault="000704D2" w:rsidP="0050438F">
      <w:pPr>
        <w:pStyle w:val="Default"/>
        <w:jc w:val="both"/>
        <w:rPr>
          <w:iCs/>
          <w:smallCaps/>
          <w:sz w:val="22"/>
          <w:szCs w:val="22"/>
        </w:rPr>
      </w:pPr>
    </w:p>
    <w:p w:rsidR="00BF266C" w:rsidRPr="000750E4" w:rsidRDefault="00305CCC" w:rsidP="00A044D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</w:rPr>
      </w:pPr>
      <w:r w:rsidRPr="009F331A">
        <w:rPr>
          <w:rFonts w:ascii="Times New Roman" w:hAnsi="Times New Roman" w:cs="Times New Roman"/>
          <w:bCs/>
          <w:color w:val="000000"/>
        </w:rPr>
        <w:t>Na základe</w:t>
      </w:r>
      <w:r w:rsidRPr="000750E4">
        <w:rPr>
          <w:rFonts w:ascii="Times New Roman" w:hAnsi="Times New Roman" w:cs="Times New Roman"/>
          <w:bCs/>
          <w:color w:val="000000"/>
        </w:rPr>
        <w:t xml:space="preserve"> uvedených skutočností je možné konštatovať, že finančn</w:t>
      </w:r>
      <w:r w:rsidR="00343D06" w:rsidRPr="000750E4">
        <w:rPr>
          <w:rFonts w:ascii="Times New Roman" w:hAnsi="Times New Roman" w:cs="Times New Roman"/>
          <w:bCs/>
          <w:color w:val="000000"/>
        </w:rPr>
        <w:t>é hospodárenie mesta v roku 201</w:t>
      </w:r>
      <w:r w:rsidR="00DD178D">
        <w:rPr>
          <w:rFonts w:ascii="Times New Roman" w:hAnsi="Times New Roman" w:cs="Times New Roman"/>
          <w:bCs/>
          <w:color w:val="000000"/>
        </w:rPr>
        <w:t>9</w:t>
      </w:r>
      <w:r w:rsidRPr="000750E4">
        <w:rPr>
          <w:rFonts w:ascii="Times New Roman" w:hAnsi="Times New Roman" w:cs="Times New Roman"/>
          <w:bCs/>
          <w:color w:val="000000"/>
        </w:rPr>
        <w:t xml:space="preserve"> </w:t>
      </w:r>
      <w:r w:rsidR="00D85CB5" w:rsidRPr="000750E4">
        <w:rPr>
          <w:rFonts w:ascii="Times New Roman" w:hAnsi="Times New Roman" w:cs="Times New Roman"/>
          <w:bCs/>
          <w:color w:val="000000"/>
        </w:rPr>
        <w:t xml:space="preserve">bolo </w:t>
      </w:r>
      <w:r w:rsidR="00B14F74" w:rsidRPr="000750E4">
        <w:rPr>
          <w:rFonts w:ascii="Times New Roman" w:hAnsi="Times New Roman" w:cs="Times New Roman"/>
          <w:bCs/>
          <w:color w:val="000000"/>
        </w:rPr>
        <w:t xml:space="preserve">pozitívne </w:t>
      </w:r>
      <w:r w:rsidRPr="000750E4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Pr="000750E4">
        <w:rPr>
          <w:rFonts w:ascii="Times New Roman" w:hAnsi="Times New Roman" w:cs="Times New Roman"/>
          <w:bCs/>
          <w:color w:val="000000"/>
        </w:rPr>
        <w:t>o.i</w:t>
      </w:r>
      <w:proofErr w:type="spellEnd"/>
      <w:r w:rsidRPr="000750E4">
        <w:rPr>
          <w:rFonts w:ascii="Times New Roman" w:hAnsi="Times New Roman" w:cs="Times New Roman"/>
          <w:bCs/>
          <w:color w:val="000000"/>
        </w:rPr>
        <w:t xml:space="preserve"> aj s ohľadom na</w:t>
      </w:r>
      <w:r w:rsidR="0099716E" w:rsidRPr="000750E4">
        <w:rPr>
          <w:rFonts w:ascii="Times New Roman" w:hAnsi="Times New Roman" w:cs="Times New Roman"/>
          <w:bCs/>
          <w:color w:val="000000"/>
        </w:rPr>
        <w:t xml:space="preserve">: </w:t>
      </w:r>
    </w:p>
    <w:p w:rsidR="000061D6" w:rsidRPr="000750E4" w:rsidRDefault="000061D6" w:rsidP="00A044D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0750E4">
        <w:rPr>
          <w:rFonts w:ascii="Times New Roman" w:hAnsi="Times New Roman" w:cs="Times New Roman"/>
          <w:b/>
          <w:bCs/>
          <w:i/>
          <w:color w:val="000000"/>
        </w:rPr>
        <w:t xml:space="preserve">priaznivý vývoj podielových daňových príjmov, </w:t>
      </w:r>
    </w:p>
    <w:p w:rsidR="00BF266C" w:rsidRPr="000750E4" w:rsidRDefault="00BF266C" w:rsidP="00A044D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0750E4">
        <w:rPr>
          <w:rFonts w:ascii="Times New Roman" w:hAnsi="Times New Roman" w:cs="Times New Roman"/>
          <w:b/>
          <w:bCs/>
          <w:i/>
          <w:color w:val="000000"/>
        </w:rPr>
        <w:t>kvalifikované zostavenie rozpočtu a minimáln</w:t>
      </w:r>
      <w:r w:rsidR="00F34E71">
        <w:rPr>
          <w:rFonts w:ascii="Times New Roman" w:hAnsi="Times New Roman" w:cs="Times New Roman"/>
          <w:b/>
          <w:bCs/>
          <w:i/>
          <w:color w:val="000000"/>
        </w:rPr>
        <w:t>e</w:t>
      </w:r>
      <w:r w:rsidRPr="000750E4">
        <w:rPr>
          <w:rFonts w:ascii="Times New Roman" w:hAnsi="Times New Roman" w:cs="Times New Roman"/>
          <w:b/>
          <w:bCs/>
          <w:i/>
          <w:color w:val="000000"/>
        </w:rPr>
        <w:t xml:space="preserve"> zmeny rozpočtu s flexibilným využitím kompetencie </w:t>
      </w:r>
      <w:r w:rsidR="000061D6" w:rsidRPr="000750E4">
        <w:rPr>
          <w:rFonts w:ascii="Times New Roman" w:hAnsi="Times New Roman" w:cs="Times New Roman"/>
          <w:b/>
          <w:bCs/>
          <w:i/>
          <w:color w:val="000000"/>
        </w:rPr>
        <w:t xml:space="preserve">primátora v oblasti </w:t>
      </w:r>
      <w:r w:rsidRPr="000750E4">
        <w:rPr>
          <w:rFonts w:ascii="Times New Roman" w:hAnsi="Times New Roman" w:cs="Times New Roman"/>
          <w:b/>
          <w:bCs/>
          <w:i/>
          <w:color w:val="000000"/>
        </w:rPr>
        <w:t xml:space="preserve">uplatňovania rozpočtových opatrení, </w:t>
      </w:r>
    </w:p>
    <w:p w:rsidR="00BF266C" w:rsidRPr="000750E4" w:rsidRDefault="00BF266C" w:rsidP="000061D6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b/>
          <w:i/>
          <w:sz w:val="22"/>
          <w:szCs w:val="22"/>
          <w:lang w:eastAsia="sk-SK"/>
        </w:rPr>
      </w:pPr>
      <w:r w:rsidRPr="000750E4">
        <w:rPr>
          <w:rFonts w:eastAsia="Times New Roman"/>
          <w:b/>
          <w:i/>
          <w:sz w:val="22"/>
          <w:szCs w:val="22"/>
          <w:lang w:eastAsia="sk-SK"/>
        </w:rPr>
        <w:t xml:space="preserve">pravidelné sledovanie plnenia rozpočtu mesta správcami programov a podprogramov, </w:t>
      </w:r>
    </w:p>
    <w:p w:rsidR="00BF266C" w:rsidRPr="00D80BBD" w:rsidRDefault="00BF266C" w:rsidP="00A044D7">
      <w:pPr>
        <w:pStyle w:val="Odsekzoznamu"/>
        <w:numPr>
          <w:ilvl w:val="0"/>
          <w:numId w:val="27"/>
        </w:numPr>
        <w:spacing w:after="0"/>
        <w:rPr>
          <w:b/>
          <w:i/>
        </w:rPr>
      </w:pPr>
      <w:r w:rsidRPr="000750E4">
        <w:rPr>
          <w:rFonts w:ascii="Times New Roman" w:hAnsi="Times New Roman" w:cs="Times New Roman"/>
          <w:b/>
          <w:bCs/>
          <w:i/>
          <w:color w:val="000000"/>
        </w:rPr>
        <w:t xml:space="preserve">nárast výberu daňových príjmov na miestnych daniach a poplatkoch,  </w:t>
      </w:r>
    </w:p>
    <w:p w:rsidR="00D80BBD" w:rsidRPr="000750E4" w:rsidRDefault="00D80BBD" w:rsidP="00A044D7">
      <w:pPr>
        <w:pStyle w:val="Odsekzoznamu"/>
        <w:numPr>
          <w:ilvl w:val="0"/>
          <w:numId w:val="27"/>
        </w:numPr>
        <w:spacing w:after="0"/>
        <w:rPr>
          <w:b/>
          <w:i/>
        </w:rPr>
      </w:pPr>
      <w:r>
        <w:rPr>
          <w:rFonts w:ascii="Times New Roman" w:hAnsi="Times New Roman" w:cs="Times New Roman"/>
          <w:b/>
          <w:bCs/>
          <w:i/>
          <w:color w:val="000000"/>
        </w:rPr>
        <w:t>nárast dosiahnutých príjmov v oblasti grantov a </w:t>
      </w:r>
      <w:proofErr w:type="spellStart"/>
      <w:r>
        <w:rPr>
          <w:rFonts w:ascii="Times New Roman" w:hAnsi="Times New Roman" w:cs="Times New Roman"/>
          <w:b/>
          <w:bCs/>
          <w:i/>
          <w:color w:val="000000"/>
        </w:rPr>
        <w:t>transférov</w:t>
      </w:r>
      <w:proofErr w:type="spellEnd"/>
      <w:r>
        <w:rPr>
          <w:rFonts w:ascii="Times New Roman" w:hAnsi="Times New Roman" w:cs="Times New Roman"/>
          <w:b/>
          <w:bCs/>
          <w:i/>
          <w:color w:val="000000"/>
        </w:rPr>
        <w:t xml:space="preserve">, </w:t>
      </w:r>
    </w:p>
    <w:p w:rsidR="00A044D7" w:rsidRPr="000750E4" w:rsidRDefault="00A044D7" w:rsidP="00A044D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0750E4">
        <w:rPr>
          <w:rFonts w:ascii="Times New Roman" w:hAnsi="Times New Roman" w:cs="Times New Roman"/>
          <w:b/>
          <w:bCs/>
          <w:i/>
          <w:color w:val="000000"/>
        </w:rPr>
        <w:t xml:space="preserve">zvýšené vlastné aj cudzie bežné príjmy rozpočtu, </w:t>
      </w:r>
    </w:p>
    <w:p w:rsidR="00402D6C" w:rsidRPr="000750E4" w:rsidRDefault="00F34E71" w:rsidP="00374BFE">
      <w:pPr>
        <w:pStyle w:val="Odsekzoznamu"/>
        <w:numPr>
          <w:ilvl w:val="0"/>
          <w:numId w:val="27"/>
        </w:numPr>
        <w:spacing w:after="0"/>
        <w:rPr>
          <w:b/>
          <w:i/>
        </w:rPr>
      </w:pPr>
      <w:r>
        <w:rPr>
          <w:rFonts w:ascii="Times New Roman" w:hAnsi="Times New Roman" w:cs="Times New Roman"/>
          <w:b/>
          <w:bCs/>
          <w:i/>
          <w:color w:val="000000"/>
        </w:rPr>
        <w:t xml:space="preserve">mierny </w:t>
      </w:r>
      <w:r w:rsidR="00CB54E4">
        <w:rPr>
          <w:rFonts w:ascii="Times New Roman" w:hAnsi="Times New Roman" w:cs="Times New Roman"/>
          <w:b/>
          <w:bCs/>
          <w:i/>
          <w:color w:val="000000"/>
        </w:rPr>
        <w:t>nárast príjmov zo splácania nájomného za nájomné byty</w:t>
      </w:r>
      <w:r w:rsidR="002D5945">
        <w:rPr>
          <w:rFonts w:ascii="Times New Roman" w:hAnsi="Times New Roman" w:cs="Times New Roman"/>
          <w:b/>
          <w:i/>
        </w:rPr>
        <w:t xml:space="preserve">. </w:t>
      </w:r>
    </w:p>
    <w:p w:rsidR="00A044D7" w:rsidRDefault="00A044D7" w:rsidP="00A044D7">
      <w:pPr>
        <w:pStyle w:val="Odsekzoznamu"/>
        <w:spacing w:after="0"/>
        <w:rPr>
          <w:b/>
          <w:i/>
          <w:sz w:val="23"/>
          <w:szCs w:val="23"/>
        </w:rPr>
      </w:pPr>
    </w:p>
    <w:p w:rsidR="00C51590" w:rsidRDefault="00C51590" w:rsidP="00A044D7">
      <w:pPr>
        <w:pStyle w:val="Odsekzoznamu"/>
        <w:spacing w:after="0"/>
        <w:rPr>
          <w:b/>
          <w:i/>
          <w:sz w:val="23"/>
          <w:szCs w:val="23"/>
        </w:rPr>
      </w:pPr>
    </w:p>
    <w:p w:rsidR="00C51590" w:rsidRDefault="00C51590" w:rsidP="00A044D7">
      <w:pPr>
        <w:pStyle w:val="Odsekzoznamu"/>
        <w:spacing w:after="0"/>
        <w:rPr>
          <w:b/>
          <w:i/>
          <w:sz w:val="23"/>
          <w:szCs w:val="23"/>
        </w:rPr>
      </w:pPr>
    </w:p>
    <w:p w:rsidR="00C51590" w:rsidRPr="00A044D7" w:rsidRDefault="00C51590" w:rsidP="00A044D7">
      <w:pPr>
        <w:pStyle w:val="Odsekzoznamu"/>
        <w:spacing w:after="0"/>
        <w:rPr>
          <w:b/>
          <w:i/>
          <w:sz w:val="23"/>
          <w:szCs w:val="23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lastRenderedPageBreak/>
        <w:t xml:space="preserve">Tvorba a použitie peňažných fondov </w:t>
      </w:r>
    </w:p>
    <w:p w:rsidR="00AD4378" w:rsidRDefault="00AD4378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B70DC7" w:rsidRPr="000750E4" w:rsidRDefault="00AD4378" w:rsidP="000750E4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Mesto môže podľa </w:t>
      </w:r>
      <w:proofErr w:type="spellStart"/>
      <w:r w:rsidRPr="000750E4">
        <w:rPr>
          <w:sz w:val="22"/>
          <w:szCs w:val="22"/>
        </w:rPr>
        <w:t>ust</w:t>
      </w:r>
      <w:proofErr w:type="spellEnd"/>
      <w:r w:rsidRPr="000750E4">
        <w:rPr>
          <w:sz w:val="22"/>
          <w:szCs w:val="22"/>
        </w:rPr>
        <w:t xml:space="preserve">. § 15 zákona </w:t>
      </w:r>
      <w:r w:rsidR="00B452FF" w:rsidRPr="000750E4">
        <w:rPr>
          <w:sz w:val="22"/>
          <w:szCs w:val="22"/>
        </w:rPr>
        <w:t>583/2004 Z.z..</w:t>
      </w:r>
      <w:r w:rsidR="00B452FF" w:rsidRPr="000750E4">
        <w:rPr>
          <w:b/>
          <w:sz w:val="22"/>
          <w:szCs w:val="22"/>
        </w:rPr>
        <w:t xml:space="preserve"> </w:t>
      </w:r>
      <w:r w:rsidRPr="000750E4">
        <w:rPr>
          <w:sz w:val="22"/>
          <w:szCs w:val="22"/>
        </w:rPr>
        <w:t>vytvárať peňažné fondy. O ich použití rozhoduje mestské zastupiteľstvo. Zostatky peňažných fo</w:t>
      </w:r>
      <w:r w:rsidR="00B452FF" w:rsidRPr="000750E4">
        <w:rPr>
          <w:sz w:val="22"/>
          <w:szCs w:val="22"/>
        </w:rPr>
        <w:t xml:space="preserve">ndov koncom roka neprepadávajú. </w:t>
      </w:r>
      <w:r w:rsidRPr="000750E4">
        <w:rPr>
          <w:sz w:val="22"/>
          <w:szCs w:val="22"/>
        </w:rPr>
        <w:t xml:space="preserve">Mesto má vytvorený rezervný fond, </w:t>
      </w:r>
      <w:r w:rsidR="00835BD5" w:rsidRPr="000750E4">
        <w:rPr>
          <w:sz w:val="22"/>
          <w:szCs w:val="22"/>
        </w:rPr>
        <w:t xml:space="preserve">fond rozvoja, fond rozvoja bývania a </w:t>
      </w:r>
      <w:r w:rsidRPr="000750E4">
        <w:rPr>
          <w:sz w:val="22"/>
          <w:szCs w:val="22"/>
        </w:rPr>
        <w:t xml:space="preserve">sociálny fond. </w:t>
      </w:r>
    </w:p>
    <w:p w:rsidR="0025134B" w:rsidRPr="000750E4" w:rsidRDefault="0025134B" w:rsidP="000750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B70DC7" w:rsidRPr="000750E4" w:rsidRDefault="000F24B9" w:rsidP="000750E4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sk-SK"/>
        </w:rPr>
      </w:pPr>
      <w:r w:rsidRPr="000750E4">
        <w:rPr>
          <w:rFonts w:ascii="Times New Roman" w:hAnsi="Times New Roman" w:cs="Times New Roman"/>
          <w:color w:val="000000"/>
        </w:rPr>
        <w:tab/>
      </w:r>
      <w:r w:rsidR="00AD4378" w:rsidRPr="000750E4">
        <w:rPr>
          <w:rFonts w:ascii="Times New Roman" w:hAnsi="Times New Roman" w:cs="Times New Roman"/>
          <w:color w:val="000000"/>
        </w:rPr>
        <w:t xml:space="preserve">Podľa zákona sa </w:t>
      </w:r>
      <w:r w:rsidR="00AD4378" w:rsidRPr="000750E4">
        <w:rPr>
          <w:rFonts w:ascii="Times New Roman" w:hAnsi="Times New Roman" w:cs="Times New Roman"/>
          <w:b/>
          <w:color w:val="000000"/>
        </w:rPr>
        <w:t>rezervný fond</w:t>
      </w:r>
      <w:r w:rsidR="00AD4378" w:rsidRPr="000750E4">
        <w:rPr>
          <w:rFonts w:ascii="Times New Roman" w:hAnsi="Times New Roman" w:cs="Times New Roman"/>
          <w:color w:val="000000"/>
        </w:rPr>
        <w:t xml:space="preserve"> vytvára najmenej vo výške 10 % z prebytku hospodárenia zisteného podľa § 16 ods. 6. </w:t>
      </w:r>
      <w:r w:rsidR="00B70DC7" w:rsidRPr="000750E4">
        <w:rPr>
          <w:rFonts w:ascii="Times New Roman" w:eastAsia="Times New Roman" w:hAnsi="Times New Roman" w:cs="Times New Roman"/>
          <w:lang w:eastAsia="sk-SK"/>
        </w:rPr>
        <w:t xml:space="preserve">O použití prebytku rozhoduje </w:t>
      </w:r>
      <w:r w:rsidR="009C5223" w:rsidRPr="000750E4">
        <w:rPr>
          <w:rFonts w:ascii="Times New Roman" w:eastAsia="Times New Roman" w:hAnsi="Times New Roman" w:cs="Times New Roman"/>
          <w:lang w:eastAsia="sk-SK"/>
        </w:rPr>
        <w:t>mestské</w:t>
      </w:r>
      <w:r w:rsidR="00B70DC7" w:rsidRPr="000750E4">
        <w:rPr>
          <w:rFonts w:ascii="Times New Roman" w:eastAsia="Times New Roman" w:hAnsi="Times New Roman" w:cs="Times New Roman"/>
          <w:lang w:eastAsia="sk-SK"/>
        </w:rPr>
        <w:t xml:space="preserve"> zastupiteľstvo, ale až následne po prerokovaní záverečného účtu. </w:t>
      </w:r>
      <w:r w:rsidRPr="000750E4">
        <w:rPr>
          <w:rFonts w:ascii="Times New Roman" w:eastAsia="Times New Roman" w:hAnsi="Times New Roman" w:cs="Times New Roman"/>
          <w:lang w:eastAsia="sk-SK"/>
        </w:rPr>
        <w:t xml:space="preserve">Rezervný fond </w:t>
      </w:r>
      <w:r w:rsidR="009C5223" w:rsidRPr="000750E4">
        <w:rPr>
          <w:rFonts w:ascii="Times New Roman" w:eastAsia="Times New Roman" w:hAnsi="Times New Roman" w:cs="Times New Roman"/>
          <w:lang w:eastAsia="sk-SK"/>
        </w:rPr>
        <w:t>mesta</w:t>
      </w:r>
      <w:r w:rsidR="00A812E1" w:rsidRPr="000750E4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0750E4">
        <w:rPr>
          <w:rFonts w:ascii="Times New Roman" w:eastAsia="Times New Roman" w:hAnsi="Times New Roman" w:cs="Times New Roman"/>
          <w:lang w:eastAsia="sk-SK"/>
        </w:rPr>
        <w:t>sa tvorí z prebytku ich bežného rozpočtu a prebytku ich kapitálového rozpočtu, ktorý po skončení roka neprepadá.</w:t>
      </w:r>
      <w:r w:rsidR="00A812E1" w:rsidRPr="000750E4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0750E4">
        <w:rPr>
          <w:rFonts w:ascii="Times New Roman" w:eastAsia="Times New Roman" w:hAnsi="Times New Roman" w:cs="Times New Roman"/>
          <w:lang w:eastAsia="sk-SK"/>
        </w:rPr>
        <w:t xml:space="preserve">Mesto prevedie tieto nevyčerpané prostriedky na osobitný účet. V nasledujúcich rokoch sa tieto prostriedky v rozsahu ich použitia na stanovený účel zaradia do výdavkov príslušného rozpočtu </w:t>
      </w:r>
      <w:r w:rsidR="00A812E1" w:rsidRPr="000750E4">
        <w:rPr>
          <w:rFonts w:ascii="Times New Roman" w:eastAsia="Times New Roman" w:hAnsi="Times New Roman" w:cs="Times New Roman"/>
          <w:lang w:eastAsia="sk-SK"/>
        </w:rPr>
        <w:t>mesta</w:t>
      </w:r>
      <w:r w:rsidRPr="000750E4">
        <w:rPr>
          <w:rFonts w:ascii="Times New Roman" w:eastAsia="Times New Roman" w:hAnsi="Times New Roman" w:cs="Times New Roman"/>
          <w:lang w:eastAsia="sk-SK"/>
        </w:rPr>
        <w:t xml:space="preserve"> prostredníctvom príjmovej finančnej operácie.</w:t>
      </w:r>
    </w:p>
    <w:p w:rsidR="000D0008" w:rsidRPr="000750E4" w:rsidRDefault="000D0008" w:rsidP="000750E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AC18FD" w:rsidRDefault="00A812E1" w:rsidP="007D5F9D">
      <w:pPr>
        <w:pStyle w:val="Zkladntext"/>
        <w:ind w:firstLine="737"/>
        <w:rPr>
          <w:b/>
          <w:sz w:val="22"/>
          <w:szCs w:val="22"/>
        </w:rPr>
      </w:pPr>
      <w:r w:rsidRPr="007D5F9D">
        <w:rPr>
          <w:b/>
          <w:sz w:val="22"/>
          <w:szCs w:val="22"/>
        </w:rPr>
        <w:t>Finančné</w:t>
      </w:r>
      <w:r w:rsidR="00CB54E4" w:rsidRPr="007D5F9D">
        <w:rPr>
          <w:b/>
          <w:sz w:val="22"/>
          <w:szCs w:val="22"/>
        </w:rPr>
        <w:t xml:space="preserve"> prostriedky na fondoch mesta </w:t>
      </w:r>
      <w:r w:rsidR="00C87251">
        <w:rPr>
          <w:b/>
          <w:sz w:val="22"/>
          <w:szCs w:val="22"/>
        </w:rPr>
        <w:t>ne</w:t>
      </w:r>
      <w:r w:rsidRPr="007D5F9D">
        <w:rPr>
          <w:b/>
          <w:sz w:val="22"/>
          <w:szCs w:val="22"/>
        </w:rPr>
        <w:t>boli v roku 201</w:t>
      </w:r>
      <w:r w:rsidR="00C87251">
        <w:rPr>
          <w:b/>
          <w:sz w:val="22"/>
          <w:szCs w:val="22"/>
        </w:rPr>
        <w:t xml:space="preserve">9 použité. </w:t>
      </w:r>
    </w:p>
    <w:p w:rsidR="007D5F9D" w:rsidRPr="007D5F9D" w:rsidRDefault="00AC18FD" w:rsidP="007D5F9D">
      <w:pPr>
        <w:pStyle w:val="Zkladntext"/>
        <w:ind w:firstLine="737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87251" w:rsidRPr="00C87251">
        <w:rPr>
          <w:sz w:val="22"/>
          <w:szCs w:val="22"/>
        </w:rPr>
        <w:t>V roku 2018</w:t>
      </w:r>
      <w:r w:rsidR="00C87251">
        <w:rPr>
          <w:b/>
          <w:sz w:val="22"/>
          <w:szCs w:val="22"/>
        </w:rPr>
        <w:t xml:space="preserve"> </w:t>
      </w:r>
      <w:r w:rsidR="007D5F9D" w:rsidRPr="007D5F9D">
        <w:rPr>
          <w:sz w:val="22"/>
          <w:szCs w:val="22"/>
        </w:rPr>
        <w:t>doš</w:t>
      </w:r>
      <w:r w:rsidR="007D5F9D">
        <w:rPr>
          <w:sz w:val="22"/>
          <w:szCs w:val="22"/>
        </w:rPr>
        <w:t xml:space="preserve">lo k čerpaniu prostriedkov spolu vo výške </w:t>
      </w:r>
      <w:r w:rsidR="007D5F9D" w:rsidRPr="007D5F9D">
        <w:rPr>
          <w:b/>
          <w:sz w:val="22"/>
          <w:szCs w:val="22"/>
        </w:rPr>
        <w:t>303.000€,</w:t>
      </w:r>
      <w:r w:rsidR="007D5F9D">
        <w:rPr>
          <w:sz w:val="22"/>
          <w:szCs w:val="22"/>
        </w:rPr>
        <w:t xml:space="preserve"> z toho </w:t>
      </w:r>
      <w:r w:rsidR="007D5F9D" w:rsidRPr="007D5F9D">
        <w:rPr>
          <w:sz w:val="22"/>
          <w:szCs w:val="22"/>
        </w:rPr>
        <w:t xml:space="preserve">rezervného fondu vo </w:t>
      </w:r>
      <w:r w:rsidR="007D5F9D" w:rsidRPr="00AC18FD">
        <w:rPr>
          <w:sz w:val="22"/>
          <w:szCs w:val="22"/>
        </w:rPr>
        <w:t>výške  140.000 € a fondu rozvoja vo výške 163.000 €. (časť spolufinancovania stavby „Preložka cesty III/3146 (III/543 040) juhovýchodný obchvat mesta Stará Ľubovňa v sume 273.137,00 v členení na použitie rezervného fondu v sume 140.000,00 € a fondu rozvoja v sume 133.137,00 €. Zostatok čerpaných finančných prostriedkov fondov vo výške 29.863,00 € bol použitý na krytie kapitálových</w:t>
      </w:r>
      <w:r w:rsidR="007D5F9D" w:rsidRPr="007D5F9D">
        <w:rPr>
          <w:sz w:val="22"/>
          <w:szCs w:val="22"/>
        </w:rPr>
        <w:t xml:space="preserve"> výdavkov). </w:t>
      </w:r>
    </w:p>
    <w:p w:rsidR="007D5F9D" w:rsidRPr="007D5F9D" w:rsidRDefault="007D5F9D" w:rsidP="007D5F9D">
      <w:pPr>
        <w:pStyle w:val="Zkladntext"/>
        <w:ind w:left="1457"/>
        <w:rPr>
          <w:sz w:val="22"/>
          <w:szCs w:val="22"/>
        </w:rPr>
      </w:pPr>
    </w:p>
    <w:p w:rsidR="00AC18FD" w:rsidRDefault="007D5F9D" w:rsidP="002D594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AD4378" w:rsidRPr="007D5F9D">
        <w:rPr>
          <w:rFonts w:ascii="Times New Roman" w:hAnsi="Times New Roman" w:cs="Times New Roman"/>
          <w:color w:val="000000"/>
        </w:rPr>
        <w:t xml:space="preserve">Tvorbu a použitie </w:t>
      </w:r>
      <w:r w:rsidR="00AD4378" w:rsidRPr="007D5F9D">
        <w:rPr>
          <w:rFonts w:ascii="Times New Roman" w:hAnsi="Times New Roman" w:cs="Times New Roman"/>
          <w:b/>
          <w:color w:val="000000"/>
        </w:rPr>
        <w:t>sociálneho fondu</w:t>
      </w:r>
      <w:r w:rsidR="00AD4378" w:rsidRPr="007D5F9D">
        <w:rPr>
          <w:rFonts w:ascii="Times New Roman" w:hAnsi="Times New Roman" w:cs="Times New Roman"/>
          <w:color w:val="000000"/>
        </w:rPr>
        <w:t xml:space="preserve"> upravuje Kolektívna zmluva </w:t>
      </w:r>
      <w:r w:rsidR="002F2DC0" w:rsidRPr="007D5F9D">
        <w:rPr>
          <w:rFonts w:ascii="Times New Roman" w:hAnsi="Times New Roman" w:cs="Times New Roman"/>
          <w:color w:val="000000"/>
        </w:rPr>
        <w:t>mesta</w:t>
      </w:r>
      <w:r w:rsidR="00AD4378" w:rsidRPr="007D5F9D">
        <w:rPr>
          <w:rFonts w:ascii="Times New Roman" w:hAnsi="Times New Roman" w:cs="Times New Roman"/>
          <w:color w:val="000000"/>
        </w:rPr>
        <w:t>.</w:t>
      </w:r>
      <w:r w:rsidRPr="007D5F9D">
        <w:rPr>
          <w:rFonts w:ascii="Times New Roman" w:eastAsia="Times New Roman" w:hAnsi="Times New Roman" w:cs="Times New Roman"/>
          <w:lang w:eastAsia="sk-SK"/>
        </w:rPr>
        <w:t xml:space="preserve"> (okrem sociálneho fondu). </w:t>
      </w:r>
      <w:r w:rsidR="002F2DC0" w:rsidRPr="007D5F9D">
        <w:rPr>
          <w:rFonts w:ascii="Times New Roman" w:hAnsi="Times New Roman" w:cs="Times New Roman"/>
          <w:color w:val="000000"/>
        </w:rPr>
        <w:t xml:space="preserve"> </w:t>
      </w:r>
      <w:r w:rsidR="002F2DC0" w:rsidRPr="007D5F9D">
        <w:rPr>
          <w:rFonts w:ascii="Times New Roman" w:hAnsi="Times New Roman" w:cs="Times New Roman"/>
          <w:b/>
          <w:color w:val="000000"/>
        </w:rPr>
        <w:t>Pr</w:t>
      </w:r>
      <w:r w:rsidR="0086724E">
        <w:rPr>
          <w:rFonts w:ascii="Times New Roman" w:hAnsi="Times New Roman" w:cs="Times New Roman"/>
          <w:b/>
          <w:color w:val="000000"/>
        </w:rPr>
        <w:t xml:space="preserve">e ostatné fondy nie sú prijaté, </w:t>
      </w:r>
      <w:r w:rsidR="002F2DC0" w:rsidRPr="007D5F9D">
        <w:rPr>
          <w:rFonts w:ascii="Times New Roman" w:hAnsi="Times New Roman" w:cs="Times New Roman"/>
          <w:b/>
          <w:color w:val="000000"/>
        </w:rPr>
        <w:t>schválené zásady tvorby a použitia</w:t>
      </w:r>
      <w:r w:rsidR="002F2DC0" w:rsidRPr="007D5F9D">
        <w:rPr>
          <w:rFonts w:ascii="Times New Roman" w:hAnsi="Times New Roman" w:cs="Times New Roman"/>
          <w:color w:val="000000"/>
        </w:rPr>
        <w:t xml:space="preserve">. </w:t>
      </w:r>
    </w:p>
    <w:p w:rsidR="00AC18FD" w:rsidRDefault="00AC18FD" w:rsidP="002D594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B54E4" w:rsidRPr="002D5945" w:rsidRDefault="00AD4378" w:rsidP="002D59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7D5F9D">
        <w:rPr>
          <w:rFonts w:ascii="Times New Roman" w:hAnsi="Times New Roman" w:cs="Times New Roman"/>
          <w:color w:val="000000"/>
        </w:rPr>
        <w:t xml:space="preserve"> </w:t>
      </w: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Bilancia aktív a pasív </w:t>
      </w:r>
    </w:p>
    <w:p w:rsidR="002F2DC0" w:rsidRDefault="002F2DC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D75616" w:rsidRPr="000750E4" w:rsidRDefault="00D75616" w:rsidP="009C52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Aktíva, </w:t>
      </w:r>
      <w:proofErr w:type="spellStart"/>
      <w:r w:rsidRPr="000750E4">
        <w:rPr>
          <w:sz w:val="22"/>
          <w:szCs w:val="22"/>
        </w:rPr>
        <w:t>t.j</w:t>
      </w:r>
      <w:proofErr w:type="spellEnd"/>
      <w:r w:rsidRPr="000750E4">
        <w:rPr>
          <w:sz w:val="22"/>
          <w:szCs w:val="22"/>
        </w:rPr>
        <w:t xml:space="preserve">. majetok spolu krytý pasívami, </w:t>
      </w:r>
      <w:proofErr w:type="spellStart"/>
      <w:r w:rsidRPr="000750E4">
        <w:rPr>
          <w:sz w:val="22"/>
          <w:szCs w:val="22"/>
        </w:rPr>
        <w:t>t.j</w:t>
      </w:r>
      <w:proofErr w:type="spellEnd"/>
      <w:r w:rsidRPr="000750E4">
        <w:rPr>
          <w:sz w:val="22"/>
          <w:szCs w:val="22"/>
        </w:rPr>
        <w:t xml:space="preserve">. zdrojmi krytia, podľa účtovnej závierky predstavujú sumu: </w:t>
      </w:r>
      <w:r w:rsidR="0046461B">
        <w:rPr>
          <w:sz w:val="22"/>
          <w:szCs w:val="22"/>
        </w:rPr>
        <w:t>57.704.0</w:t>
      </w:r>
      <w:r w:rsidR="00264D4F">
        <w:rPr>
          <w:sz w:val="22"/>
          <w:szCs w:val="22"/>
        </w:rPr>
        <w:t>53</w:t>
      </w:r>
      <w:r w:rsidR="0046461B">
        <w:rPr>
          <w:sz w:val="22"/>
          <w:szCs w:val="22"/>
        </w:rPr>
        <w:t xml:space="preserve">€ (r.2018 </w:t>
      </w:r>
      <w:r w:rsidR="00242DF5">
        <w:rPr>
          <w:sz w:val="22"/>
          <w:szCs w:val="22"/>
        </w:rPr>
        <w:t xml:space="preserve">55.534.008€, </w:t>
      </w:r>
      <w:r w:rsidR="00C827CF">
        <w:rPr>
          <w:sz w:val="22"/>
          <w:szCs w:val="22"/>
        </w:rPr>
        <w:t xml:space="preserve">r.2017 55.066.784€, </w:t>
      </w:r>
      <w:r w:rsidR="00374BFE" w:rsidRPr="000750E4">
        <w:rPr>
          <w:sz w:val="22"/>
          <w:szCs w:val="22"/>
        </w:rPr>
        <w:t xml:space="preserve">r.2016 </w:t>
      </w:r>
      <w:r w:rsidRPr="000750E4">
        <w:rPr>
          <w:sz w:val="22"/>
          <w:szCs w:val="22"/>
        </w:rPr>
        <w:t>54.921.993€</w:t>
      </w:r>
      <w:r w:rsidR="00374BFE" w:rsidRPr="000750E4">
        <w:rPr>
          <w:sz w:val="22"/>
          <w:szCs w:val="22"/>
        </w:rPr>
        <w:t>)</w:t>
      </w:r>
      <w:r w:rsidRPr="000750E4">
        <w:rPr>
          <w:sz w:val="22"/>
          <w:szCs w:val="22"/>
        </w:rPr>
        <w:t>. Finančná hodnota stavu a štruktúry majetku s časovým vývojom od roku 200</w:t>
      </w:r>
      <w:r w:rsidR="00374BFE" w:rsidRPr="000750E4">
        <w:rPr>
          <w:sz w:val="22"/>
          <w:szCs w:val="22"/>
        </w:rPr>
        <w:t>9</w:t>
      </w:r>
      <w:r w:rsidRPr="000750E4">
        <w:rPr>
          <w:sz w:val="22"/>
          <w:szCs w:val="22"/>
        </w:rPr>
        <w:t xml:space="preserve"> je podrobne uvedená na str. </w:t>
      </w:r>
      <w:r w:rsidR="00242DF5">
        <w:rPr>
          <w:sz w:val="22"/>
          <w:szCs w:val="22"/>
        </w:rPr>
        <w:t>6</w:t>
      </w:r>
      <w:r w:rsidR="00264D4F">
        <w:rPr>
          <w:sz w:val="22"/>
          <w:szCs w:val="22"/>
        </w:rPr>
        <w:t>5</w:t>
      </w:r>
      <w:r w:rsidRPr="000750E4">
        <w:rPr>
          <w:sz w:val="22"/>
          <w:szCs w:val="22"/>
        </w:rPr>
        <w:t xml:space="preserve"> návrhu Záverečného účtu. </w:t>
      </w:r>
    </w:p>
    <w:p w:rsidR="00D75616" w:rsidRPr="000750E4" w:rsidRDefault="00D75616" w:rsidP="009C52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3B3B7E">
        <w:rPr>
          <w:sz w:val="22"/>
          <w:szCs w:val="22"/>
        </w:rPr>
        <w:t>Mesto v majetkovej evidencii eviduje :</w:t>
      </w:r>
      <w:r w:rsidRPr="000750E4">
        <w:rPr>
          <w:sz w:val="22"/>
          <w:szCs w:val="22"/>
        </w:rPr>
        <w:t xml:space="preserve"> </w:t>
      </w:r>
    </w:p>
    <w:p w:rsidR="00D75616" w:rsidRPr="000750E4" w:rsidRDefault="00D75616" w:rsidP="00D75616">
      <w:pPr>
        <w:pStyle w:val="Defaul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0750E4">
        <w:rPr>
          <w:sz w:val="22"/>
          <w:szCs w:val="22"/>
        </w:rPr>
        <w:t>dlhodobý hmotný, nehmotný a finančný majetok</w:t>
      </w:r>
      <w:r w:rsidR="00BB36A5" w:rsidRPr="000750E4">
        <w:rPr>
          <w:sz w:val="22"/>
          <w:szCs w:val="22"/>
        </w:rPr>
        <w:t xml:space="preserve"> (r.003,011,085)</w:t>
      </w:r>
      <w:r w:rsidRPr="000750E4">
        <w:rPr>
          <w:sz w:val="22"/>
          <w:szCs w:val="22"/>
        </w:rPr>
        <w:t xml:space="preserve"> v celkovej </w:t>
      </w:r>
      <w:r w:rsidRPr="008E0472">
        <w:rPr>
          <w:sz w:val="22"/>
          <w:szCs w:val="22"/>
        </w:rPr>
        <w:t xml:space="preserve">hodnote </w:t>
      </w:r>
      <w:r w:rsidR="00CD74D9">
        <w:rPr>
          <w:sz w:val="22"/>
          <w:szCs w:val="22"/>
        </w:rPr>
        <w:t xml:space="preserve">45.383.734€ </w:t>
      </w:r>
      <w:r w:rsidR="00264D4F">
        <w:rPr>
          <w:sz w:val="22"/>
          <w:szCs w:val="22"/>
        </w:rPr>
        <w:t>(</w:t>
      </w:r>
      <w:r w:rsidR="007B1C81" w:rsidRPr="008E0472">
        <w:rPr>
          <w:sz w:val="22"/>
          <w:szCs w:val="22"/>
        </w:rPr>
        <w:t>r.</w:t>
      </w:r>
      <w:r w:rsidR="002456BF" w:rsidRPr="008E0472">
        <w:rPr>
          <w:sz w:val="22"/>
          <w:szCs w:val="22"/>
        </w:rPr>
        <w:t>201</w:t>
      </w:r>
      <w:r w:rsidR="003B3B7E" w:rsidRPr="008E0472">
        <w:rPr>
          <w:sz w:val="22"/>
          <w:szCs w:val="22"/>
        </w:rPr>
        <w:t xml:space="preserve">8 </w:t>
      </w:r>
      <w:r w:rsidR="0086724E" w:rsidRPr="008E0472">
        <w:rPr>
          <w:sz w:val="22"/>
          <w:szCs w:val="22"/>
        </w:rPr>
        <w:t>44.286.252,57€</w:t>
      </w:r>
      <w:r w:rsidR="005A0E62" w:rsidRPr="008E0472">
        <w:rPr>
          <w:sz w:val="22"/>
          <w:szCs w:val="22"/>
        </w:rPr>
        <w:t>,</w:t>
      </w:r>
      <w:r w:rsidR="005A0E62">
        <w:rPr>
          <w:sz w:val="22"/>
          <w:szCs w:val="22"/>
        </w:rPr>
        <w:t xml:space="preserve"> </w:t>
      </w:r>
      <w:r w:rsidR="003B3B7E">
        <w:rPr>
          <w:sz w:val="22"/>
          <w:szCs w:val="22"/>
        </w:rPr>
        <w:t xml:space="preserve">r.2017 </w:t>
      </w:r>
      <w:r w:rsidR="002456BF" w:rsidRPr="000750E4">
        <w:rPr>
          <w:sz w:val="22"/>
          <w:szCs w:val="22"/>
        </w:rPr>
        <w:t>42.319.000€</w:t>
      </w:r>
      <w:r w:rsidR="002456BF">
        <w:rPr>
          <w:sz w:val="22"/>
          <w:szCs w:val="22"/>
        </w:rPr>
        <w:t>, r.</w:t>
      </w:r>
      <w:r w:rsidR="007B1C81" w:rsidRPr="000750E4">
        <w:rPr>
          <w:sz w:val="22"/>
          <w:szCs w:val="22"/>
        </w:rPr>
        <w:t xml:space="preserve">2016 </w:t>
      </w:r>
      <w:r w:rsidR="00BB36A5" w:rsidRPr="000750E4">
        <w:rPr>
          <w:sz w:val="22"/>
          <w:szCs w:val="22"/>
        </w:rPr>
        <w:t>42.084.598€</w:t>
      </w:r>
      <w:r w:rsidR="007B1C81" w:rsidRPr="000750E4">
        <w:rPr>
          <w:sz w:val="22"/>
          <w:szCs w:val="22"/>
        </w:rPr>
        <w:t>)</w:t>
      </w:r>
      <w:r w:rsidR="008D5D04" w:rsidRPr="000750E4">
        <w:rPr>
          <w:sz w:val="22"/>
          <w:szCs w:val="22"/>
        </w:rPr>
        <w:t xml:space="preserve">. </w:t>
      </w:r>
    </w:p>
    <w:p w:rsidR="00DD19C9" w:rsidRPr="000750E4" w:rsidRDefault="00DD19C9" w:rsidP="00DD19C9">
      <w:pPr>
        <w:pStyle w:val="Defaul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v tom nezaradené investície </w:t>
      </w:r>
      <w:r w:rsidR="00F56A22" w:rsidRPr="000750E4">
        <w:rPr>
          <w:sz w:val="22"/>
          <w:szCs w:val="22"/>
        </w:rPr>
        <w:t xml:space="preserve">(r. 009, 022) </w:t>
      </w:r>
      <w:r w:rsidRPr="000750E4">
        <w:rPr>
          <w:sz w:val="22"/>
          <w:szCs w:val="22"/>
        </w:rPr>
        <w:t xml:space="preserve">vedenú na účte 042 – Obstaranie dlhodobého hmotného majetku v hodnote </w:t>
      </w:r>
      <w:r w:rsidR="00FA13DC">
        <w:rPr>
          <w:sz w:val="22"/>
          <w:szCs w:val="22"/>
        </w:rPr>
        <w:t>1.071.118</w:t>
      </w:r>
      <w:r w:rsidR="00FA13DC">
        <w:rPr>
          <w:sz w:val="22"/>
          <w:szCs w:val="22"/>
          <w:lang w:val="en-US"/>
        </w:rPr>
        <w:t xml:space="preserve">€ </w:t>
      </w:r>
      <w:r w:rsidR="00FA13DC" w:rsidRPr="000750E4">
        <w:rPr>
          <w:sz w:val="22"/>
          <w:szCs w:val="22"/>
        </w:rPr>
        <w:t>(</w:t>
      </w:r>
      <w:r w:rsidR="00FA13DC">
        <w:rPr>
          <w:sz w:val="22"/>
          <w:szCs w:val="22"/>
        </w:rPr>
        <w:t xml:space="preserve">r.2018 </w:t>
      </w:r>
      <w:r w:rsidR="002456BF">
        <w:rPr>
          <w:sz w:val="22"/>
          <w:szCs w:val="22"/>
        </w:rPr>
        <w:t>2.152.611€</w:t>
      </w:r>
      <w:r w:rsidR="00FA13DC">
        <w:rPr>
          <w:sz w:val="22"/>
          <w:szCs w:val="22"/>
        </w:rPr>
        <w:t xml:space="preserve">, </w:t>
      </w:r>
      <w:r w:rsidR="002456BF">
        <w:rPr>
          <w:sz w:val="22"/>
          <w:szCs w:val="22"/>
        </w:rPr>
        <w:t xml:space="preserve">r.2017 </w:t>
      </w:r>
      <w:r w:rsidR="002456BF" w:rsidRPr="000750E4">
        <w:rPr>
          <w:sz w:val="22"/>
          <w:szCs w:val="22"/>
        </w:rPr>
        <w:t>1.868.198€</w:t>
      </w:r>
      <w:r w:rsidR="002456BF">
        <w:rPr>
          <w:sz w:val="22"/>
          <w:szCs w:val="22"/>
        </w:rPr>
        <w:t xml:space="preserve">, </w:t>
      </w:r>
      <w:r w:rsidR="007B1C81" w:rsidRPr="000750E4">
        <w:rPr>
          <w:sz w:val="22"/>
          <w:szCs w:val="22"/>
        </w:rPr>
        <w:t xml:space="preserve">r. 2016 </w:t>
      </w:r>
      <w:r w:rsidR="00BB36A5" w:rsidRPr="000750E4">
        <w:rPr>
          <w:sz w:val="22"/>
          <w:szCs w:val="22"/>
        </w:rPr>
        <w:t>1.437.025€</w:t>
      </w:r>
      <w:r w:rsidR="008D5D04" w:rsidRPr="000750E4">
        <w:rPr>
          <w:sz w:val="22"/>
          <w:szCs w:val="22"/>
        </w:rPr>
        <w:t xml:space="preserve">) </w:t>
      </w:r>
    </w:p>
    <w:p w:rsidR="00B12E8C" w:rsidRPr="000750E4" w:rsidRDefault="00B12E8C" w:rsidP="00B12E8C">
      <w:pPr>
        <w:pStyle w:val="Default"/>
        <w:spacing w:line="276" w:lineRule="auto"/>
        <w:ind w:left="1068"/>
        <w:jc w:val="both"/>
        <w:rPr>
          <w:sz w:val="22"/>
          <w:szCs w:val="22"/>
          <w:highlight w:val="yellow"/>
        </w:rPr>
      </w:pPr>
    </w:p>
    <w:p w:rsidR="00DD19C9" w:rsidRPr="000750E4" w:rsidRDefault="00B12E8C" w:rsidP="00DD19C9">
      <w:pPr>
        <w:pStyle w:val="Default"/>
        <w:spacing w:line="276" w:lineRule="auto"/>
        <w:jc w:val="both"/>
        <w:rPr>
          <w:sz w:val="22"/>
          <w:szCs w:val="22"/>
        </w:rPr>
      </w:pPr>
      <w:r w:rsidRPr="000750E4">
        <w:rPr>
          <w:sz w:val="22"/>
          <w:szCs w:val="22"/>
        </w:rPr>
        <w:tab/>
      </w:r>
      <w:r w:rsidR="00DD19C9" w:rsidRPr="000750E4">
        <w:rPr>
          <w:sz w:val="22"/>
          <w:szCs w:val="22"/>
        </w:rPr>
        <w:t xml:space="preserve">Mesto zaznamenalo </w:t>
      </w:r>
      <w:r w:rsidR="00594A75">
        <w:rPr>
          <w:sz w:val="22"/>
          <w:szCs w:val="22"/>
        </w:rPr>
        <w:t xml:space="preserve">prírastok </w:t>
      </w:r>
      <w:r w:rsidR="00FA13DC">
        <w:rPr>
          <w:sz w:val="22"/>
          <w:szCs w:val="22"/>
        </w:rPr>
        <w:t xml:space="preserve">celkových aktív </w:t>
      </w:r>
      <w:r w:rsidR="008D5D04" w:rsidRPr="000750E4">
        <w:rPr>
          <w:sz w:val="22"/>
          <w:szCs w:val="22"/>
        </w:rPr>
        <w:t>o</w:t>
      </w:r>
      <w:r w:rsidR="00FA13DC">
        <w:rPr>
          <w:sz w:val="22"/>
          <w:szCs w:val="22"/>
        </w:rPr>
        <w:t xml:space="preserve"> 2.170.045€ (r.2018/2017 prírastok 467.224€, </w:t>
      </w:r>
      <w:r w:rsidR="00594A75">
        <w:rPr>
          <w:sz w:val="22"/>
          <w:szCs w:val="22"/>
        </w:rPr>
        <w:t xml:space="preserve">r.2017/2016 o </w:t>
      </w:r>
      <w:r w:rsidR="008D5D04" w:rsidRPr="000750E4">
        <w:rPr>
          <w:sz w:val="22"/>
          <w:szCs w:val="22"/>
        </w:rPr>
        <w:t>144.791€</w:t>
      </w:r>
      <w:r w:rsidR="00594A75">
        <w:rPr>
          <w:sz w:val="22"/>
          <w:szCs w:val="22"/>
        </w:rPr>
        <w:t>, r.201</w:t>
      </w:r>
      <w:r w:rsidR="009F4AB8">
        <w:rPr>
          <w:sz w:val="22"/>
          <w:szCs w:val="22"/>
        </w:rPr>
        <w:t>6/2015</w:t>
      </w:r>
      <w:r w:rsidR="00594A75" w:rsidRPr="000750E4">
        <w:rPr>
          <w:sz w:val="22"/>
          <w:szCs w:val="22"/>
        </w:rPr>
        <w:t xml:space="preserve"> </w:t>
      </w:r>
      <w:r w:rsidR="009F4AB8">
        <w:rPr>
          <w:sz w:val="22"/>
          <w:szCs w:val="22"/>
        </w:rPr>
        <w:t xml:space="preserve">úbytok </w:t>
      </w:r>
      <w:r w:rsidR="00594A75" w:rsidRPr="000750E4">
        <w:rPr>
          <w:sz w:val="22"/>
          <w:szCs w:val="22"/>
        </w:rPr>
        <w:t xml:space="preserve">o 139.327€) </w:t>
      </w:r>
      <w:r w:rsidR="00DD19C9" w:rsidRPr="000750E4">
        <w:rPr>
          <w:sz w:val="22"/>
          <w:szCs w:val="22"/>
        </w:rPr>
        <w:t>v</w:t>
      </w:r>
      <w:r w:rsidR="008D5D04" w:rsidRPr="000750E4">
        <w:rPr>
          <w:sz w:val="22"/>
          <w:szCs w:val="22"/>
        </w:rPr>
        <w:t> medziročnom porovnaní, čo je možné hodnotiť ako pozitívny trend</w:t>
      </w:r>
      <w:r w:rsidR="00DD19C9" w:rsidRPr="000750E4">
        <w:rPr>
          <w:sz w:val="22"/>
          <w:szCs w:val="22"/>
        </w:rPr>
        <w:t xml:space="preserve">. Najväčšie </w:t>
      </w:r>
      <w:r w:rsidR="00C07866">
        <w:rPr>
          <w:sz w:val="22"/>
          <w:szCs w:val="22"/>
        </w:rPr>
        <w:t>prírastky nastali v položkách stavby, dopravné prostriedky, pozemky, ostatné finančné investície.</w:t>
      </w:r>
      <w:r w:rsidR="00645A43" w:rsidRPr="000750E4">
        <w:rPr>
          <w:sz w:val="22"/>
          <w:szCs w:val="22"/>
        </w:rPr>
        <w:t xml:space="preserve"> </w:t>
      </w:r>
      <w:r w:rsidR="00DD19C9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Dôvody zmeny stavu majetku sú popís</w:t>
      </w:r>
      <w:r w:rsidR="00C07866">
        <w:rPr>
          <w:sz w:val="22"/>
          <w:szCs w:val="22"/>
        </w:rPr>
        <w:t xml:space="preserve">ané v časti 3.4. Majetok mesta, od str. 65. </w:t>
      </w:r>
    </w:p>
    <w:p w:rsidR="00DD19C9" w:rsidRPr="000750E4" w:rsidRDefault="00DD19C9" w:rsidP="00DD19C9">
      <w:pPr>
        <w:pStyle w:val="Default"/>
        <w:spacing w:line="276" w:lineRule="auto"/>
        <w:jc w:val="both"/>
        <w:rPr>
          <w:sz w:val="22"/>
          <w:szCs w:val="22"/>
        </w:rPr>
      </w:pPr>
    </w:p>
    <w:p w:rsidR="002F2DC0" w:rsidRPr="000750E4" w:rsidRDefault="002F2DC0" w:rsidP="009C52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>Na základe vykonanej účtovnej závierky boli</w:t>
      </w:r>
      <w:r w:rsidR="00645A43" w:rsidRPr="000750E4">
        <w:rPr>
          <w:sz w:val="22"/>
          <w:szCs w:val="22"/>
        </w:rPr>
        <w:t xml:space="preserve"> rozpočtové a účtovné </w:t>
      </w:r>
      <w:r w:rsidRPr="000750E4">
        <w:rPr>
          <w:sz w:val="22"/>
          <w:szCs w:val="22"/>
        </w:rPr>
        <w:t>výsledky premietnuté do výkazu súvaha k 31. 12. 201</w:t>
      </w:r>
      <w:r w:rsidR="00C07866">
        <w:rPr>
          <w:sz w:val="22"/>
          <w:szCs w:val="22"/>
        </w:rPr>
        <w:t>9</w:t>
      </w:r>
      <w:r w:rsidR="00645A43" w:rsidRPr="000750E4">
        <w:rPr>
          <w:sz w:val="22"/>
          <w:szCs w:val="22"/>
        </w:rPr>
        <w:t xml:space="preserve">, </w:t>
      </w:r>
      <w:r w:rsidRPr="000750E4">
        <w:rPr>
          <w:sz w:val="22"/>
          <w:szCs w:val="22"/>
        </w:rPr>
        <w:t>predstavujú hodnotu aktív a hodnotu pasív. Každá rozpočtová a príspevková organizácia mesta zostavuje súvahu samostatne.</w:t>
      </w:r>
    </w:p>
    <w:p w:rsidR="00A812E1" w:rsidRPr="000750E4" w:rsidRDefault="00A812E1" w:rsidP="00A812E1">
      <w:pPr>
        <w:pStyle w:val="Default"/>
        <w:spacing w:line="276" w:lineRule="auto"/>
        <w:ind w:left="1068"/>
        <w:jc w:val="both"/>
        <w:rPr>
          <w:sz w:val="22"/>
          <w:szCs w:val="22"/>
        </w:rPr>
      </w:pPr>
    </w:p>
    <w:p w:rsidR="009F4AB8" w:rsidRDefault="00F56A22" w:rsidP="009F4AB8">
      <w:pPr>
        <w:pStyle w:val="Default"/>
        <w:spacing w:line="276" w:lineRule="auto"/>
        <w:ind w:firstLine="709"/>
        <w:jc w:val="both"/>
        <w:rPr>
          <w:b/>
          <w:sz w:val="22"/>
          <w:szCs w:val="22"/>
        </w:rPr>
      </w:pPr>
      <w:r w:rsidRPr="000750E4">
        <w:rPr>
          <w:b/>
          <w:sz w:val="22"/>
          <w:szCs w:val="22"/>
        </w:rPr>
        <w:t xml:space="preserve">Na základe zhodnotenia vývoja stavu a štruktúry majetku </w:t>
      </w:r>
      <w:r w:rsidR="009F4AB8">
        <w:rPr>
          <w:b/>
          <w:sz w:val="22"/>
          <w:szCs w:val="22"/>
        </w:rPr>
        <w:t>je možné konštatovať, že</w:t>
      </w:r>
      <w:r w:rsidR="00C07866">
        <w:rPr>
          <w:b/>
          <w:sz w:val="22"/>
          <w:szCs w:val="22"/>
        </w:rPr>
        <w:t xml:space="preserve"> sa</w:t>
      </w:r>
      <w:r w:rsidR="009F4AB8">
        <w:rPr>
          <w:b/>
          <w:sz w:val="22"/>
          <w:szCs w:val="22"/>
        </w:rPr>
        <w:t>:</w:t>
      </w:r>
    </w:p>
    <w:p w:rsidR="00CD74D9" w:rsidRDefault="00C07866" w:rsidP="00075680">
      <w:pPr>
        <w:pStyle w:val="Default"/>
        <w:numPr>
          <w:ilvl w:val="0"/>
          <w:numId w:val="5"/>
        </w:numPr>
        <w:spacing w:line="276" w:lineRule="auto"/>
        <w:jc w:val="both"/>
        <w:rPr>
          <w:b/>
          <w:sz w:val="22"/>
          <w:szCs w:val="22"/>
        </w:rPr>
      </w:pPr>
      <w:r w:rsidRPr="00CD74D9">
        <w:rPr>
          <w:b/>
          <w:sz w:val="22"/>
          <w:szCs w:val="22"/>
        </w:rPr>
        <w:lastRenderedPageBreak/>
        <w:t>zvýšil</w:t>
      </w:r>
      <w:r w:rsidR="00CD74D9" w:rsidRPr="00CD74D9">
        <w:rPr>
          <w:b/>
          <w:sz w:val="22"/>
          <w:szCs w:val="22"/>
        </w:rPr>
        <w:t>i hodnoty majetku v kategórií</w:t>
      </w:r>
      <w:r w:rsidR="00D6382B" w:rsidRPr="00CD74D9">
        <w:rPr>
          <w:b/>
          <w:sz w:val="22"/>
          <w:szCs w:val="22"/>
        </w:rPr>
        <w:t xml:space="preserve">: </w:t>
      </w:r>
      <w:r w:rsidRPr="00CD74D9">
        <w:rPr>
          <w:b/>
          <w:sz w:val="22"/>
          <w:szCs w:val="22"/>
        </w:rPr>
        <w:t>stavby, dopravné prostriedky, pozemky, ostatné finančné investície</w:t>
      </w:r>
      <w:r w:rsidR="00D43B43" w:rsidRPr="00CD74D9">
        <w:rPr>
          <w:b/>
          <w:sz w:val="22"/>
          <w:szCs w:val="22"/>
        </w:rPr>
        <w:t xml:space="preserve">, </w:t>
      </w:r>
      <w:r w:rsidRPr="00CD74D9">
        <w:rPr>
          <w:b/>
          <w:sz w:val="22"/>
          <w:szCs w:val="22"/>
        </w:rPr>
        <w:t xml:space="preserve">software, ostatný a drobný DNM, </w:t>
      </w:r>
    </w:p>
    <w:p w:rsidR="00645A43" w:rsidRPr="00CD74D9" w:rsidRDefault="00C07866" w:rsidP="00075680">
      <w:pPr>
        <w:pStyle w:val="Default"/>
        <w:numPr>
          <w:ilvl w:val="0"/>
          <w:numId w:val="5"/>
        </w:numPr>
        <w:spacing w:line="276" w:lineRule="auto"/>
        <w:jc w:val="both"/>
        <w:rPr>
          <w:b/>
          <w:sz w:val="22"/>
          <w:szCs w:val="22"/>
        </w:rPr>
      </w:pPr>
      <w:r w:rsidRPr="00CD74D9">
        <w:rPr>
          <w:b/>
          <w:sz w:val="22"/>
          <w:szCs w:val="22"/>
        </w:rPr>
        <w:t>znížila</w:t>
      </w:r>
      <w:r w:rsidR="00CD74D9">
        <w:rPr>
          <w:b/>
          <w:sz w:val="22"/>
          <w:szCs w:val="22"/>
        </w:rPr>
        <w:t xml:space="preserve"> hodnota majetku v kategórií</w:t>
      </w:r>
      <w:r w:rsidR="00A812E1" w:rsidRPr="00CD74D9">
        <w:rPr>
          <w:b/>
          <w:sz w:val="22"/>
          <w:szCs w:val="22"/>
        </w:rPr>
        <w:t>:</w:t>
      </w:r>
      <w:r w:rsidR="00D6382B" w:rsidRPr="00CD74D9">
        <w:rPr>
          <w:b/>
          <w:sz w:val="22"/>
          <w:szCs w:val="22"/>
        </w:rPr>
        <w:t xml:space="preserve"> </w:t>
      </w:r>
      <w:r w:rsidRPr="00CD74D9">
        <w:rPr>
          <w:b/>
          <w:sz w:val="22"/>
          <w:szCs w:val="22"/>
        </w:rPr>
        <w:t>stroje</w:t>
      </w:r>
      <w:r w:rsidR="00D6382B" w:rsidRPr="00CD74D9">
        <w:rPr>
          <w:b/>
          <w:sz w:val="22"/>
          <w:szCs w:val="22"/>
        </w:rPr>
        <w:t xml:space="preserve">, prístroje a zariadenia, </w:t>
      </w:r>
      <w:r w:rsidRPr="00CD74D9">
        <w:rPr>
          <w:b/>
          <w:sz w:val="22"/>
          <w:szCs w:val="22"/>
        </w:rPr>
        <w:t xml:space="preserve">nedokončené hmotné investície, </w:t>
      </w:r>
      <w:r w:rsidR="005E41D0" w:rsidRPr="00CD74D9">
        <w:rPr>
          <w:b/>
          <w:sz w:val="22"/>
          <w:szCs w:val="22"/>
        </w:rPr>
        <w:t>materiálu na sklade</w:t>
      </w:r>
      <w:r w:rsidR="00D43B43" w:rsidRPr="00CD74D9">
        <w:rPr>
          <w:b/>
          <w:sz w:val="22"/>
          <w:szCs w:val="22"/>
        </w:rPr>
        <w:t xml:space="preserve">. </w:t>
      </w:r>
      <w:r w:rsidR="00645A43" w:rsidRPr="00CD74D9">
        <w:rPr>
          <w:b/>
          <w:sz w:val="22"/>
          <w:szCs w:val="22"/>
        </w:rPr>
        <w:t xml:space="preserve"> </w:t>
      </w:r>
    </w:p>
    <w:p w:rsidR="00A812E1" w:rsidRPr="000750E4" w:rsidRDefault="00A812E1" w:rsidP="009C522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A044D7" w:rsidRDefault="001936DA" w:rsidP="009C5223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  <w:r w:rsidRPr="00C51590">
        <w:rPr>
          <w:b/>
          <w:iCs/>
          <w:smallCaps/>
          <w:sz w:val="26"/>
          <w:szCs w:val="26"/>
        </w:rPr>
        <w:t>Bilancia pohľadávok</w:t>
      </w:r>
      <w:r w:rsidRPr="001936DA">
        <w:rPr>
          <w:b/>
          <w:iCs/>
          <w:smallCaps/>
          <w:sz w:val="26"/>
          <w:szCs w:val="26"/>
        </w:rPr>
        <w:t xml:space="preserve"> </w:t>
      </w:r>
    </w:p>
    <w:p w:rsidR="00E07C67" w:rsidRDefault="00E07C67" w:rsidP="009C5223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</w:p>
    <w:p w:rsidR="00F57A11" w:rsidRPr="00E07C67" w:rsidRDefault="00F57A11" w:rsidP="00E07C67">
      <w:pPr>
        <w:pStyle w:val="Default"/>
        <w:spacing w:line="276" w:lineRule="auto"/>
        <w:ind w:firstLine="708"/>
        <w:jc w:val="both"/>
        <w:rPr>
          <w:iCs/>
          <w:sz w:val="22"/>
          <w:szCs w:val="22"/>
        </w:rPr>
      </w:pPr>
      <w:r w:rsidRPr="00DD26F9">
        <w:rPr>
          <w:iCs/>
          <w:sz w:val="22"/>
          <w:szCs w:val="22"/>
        </w:rPr>
        <w:t>Prehľad vývoja pohľadávok za roky 201</w:t>
      </w:r>
      <w:r w:rsidR="00635207">
        <w:rPr>
          <w:iCs/>
          <w:sz w:val="22"/>
          <w:szCs w:val="22"/>
        </w:rPr>
        <w:t>1</w:t>
      </w:r>
      <w:r w:rsidRPr="00DD26F9">
        <w:rPr>
          <w:iCs/>
          <w:sz w:val="22"/>
          <w:szCs w:val="22"/>
        </w:rPr>
        <w:t xml:space="preserve"> – 201</w:t>
      </w:r>
      <w:r w:rsidR="005E41D0">
        <w:rPr>
          <w:iCs/>
          <w:sz w:val="22"/>
          <w:szCs w:val="22"/>
        </w:rPr>
        <w:t>9</w:t>
      </w:r>
      <w:r w:rsidR="00841E1A" w:rsidRPr="00DD26F9">
        <w:rPr>
          <w:iCs/>
          <w:sz w:val="22"/>
          <w:szCs w:val="22"/>
        </w:rPr>
        <w:t xml:space="preserve"> :</w:t>
      </w:r>
      <w:r w:rsidR="004361D6" w:rsidRPr="00DD26F9">
        <w:rPr>
          <w:b/>
          <w:iCs/>
          <w:sz w:val="22"/>
          <w:szCs w:val="22"/>
        </w:rPr>
        <w:tab/>
      </w:r>
      <w:r w:rsidR="004361D6" w:rsidRPr="00DD26F9">
        <w:rPr>
          <w:b/>
          <w:iCs/>
          <w:sz w:val="22"/>
          <w:szCs w:val="22"/>
        </w:rPr>
        <w:tab/>
      </w:r>
      <w:r w:rsidR="004361D6" w:rsidRPr="00DD26F9">
        <w:rPr>
          <w:b/>
          <w:iCs/>
          <w:sz w:val="22"/>
          <w:szCs w:val="22"/>
        </w:rPr>
        <w:tab/>
      </w:r>
      <w:r w:rsidRPr="00DD26F9">
        <w:rPr>
          <w:iCs/>
          <w:sz w:val="18"/>
          <w:szCs w:val="18"/>
        </w:rPr>
        <w:t xml:space="preserve">v Eur </w:t>
      </w:r>
      <w:r w:rsidRPr="00DD26F9">
        <w:rPr>
          <w:iCs/>
          <w:sz w:val="18"/>
          <w:szCs w:val="18"/>
        </w:rPr>
        <w:tab/>
        <w:t>tab. č. 1</w:t>
      </w:r>
      <w:r w:rsidR="005D7F0B" w:rsidRPr="00DD26F9">
        <w:rPr>
          <w:iCs/>
          <w:sz w:val="18"/>
          <w:szCs w:val="18"/>
        </w:rPr>
        <w:t>0</w:t>
      </w:r>
      <w:r w:rsidRPr="00DD26F9">
        <w:rPr>
          <w:iCs/>
          <w:sz w:val="18"/>
          <w:szCs w:val="18"/>
        </w:rPr>
        <w:t xml:space="preserve"> </w:t>
      </w:r>
    </w:p>
    <w:tbl>
      <w:tblPr>
        <w:tblStyle w:val="Obyajntabuka1"/>
        <w:tblW w:w="9209" w:type="dxa"/>
        <w:tblLook w:val="04A0" w:firstRow="1" w:lastRow="0" w:firstColumn="1" w:lastColumn="0" w:noHBand="0" w:noVBand="1"/>
      </w:tblPr>
      <w:tblGrid>
        <w:gridCol w:w="1589"/>
        <w:gridCol w:w="816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049E6" w:rsidRPr="00F57A11" w:rsidTr="008D7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Druh pohľadávok  /rok </w:t>
            </w:r>
          </w:p>
        </w:tc>
        <w:tc>
          <w:tcPr>
            <w:tcW w:w="816" w:type="dxa"/>
            <w:noWrap/>
            <w:vAlign w:val="bottom"/>
            <w:hideMark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851" w:type="dxa"/>
            <w:noWrap/>
            <w:vAlign w:val="bottom"/>
            <w:hideMark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850" w:type="dxa"/>
            <w:noWrap/>
            <w:vAlign w:val="bottom"/>
            <w:hideMark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851" w:type="dxa"/>
            <w:noWrap/>
            <w:vAlign w:val="bottom"/>
            <w:hideMark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bottom"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vAlign w:val="bottom"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0" w:type="dxa"/>
            <w:vAlign w:val="bottom"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51" w:type="dxa"/>
            <w:vAlign w:val="bottom"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bottom"/>
          </w:tcPr>
          <w:p w:rsidR="00A049E6" w:rsidRPr="00A049E6" w:rsidRDefault="00A049E6" w:rsidP="00A049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2019</w:t>
            </w:r>
          </w:p>
        </w:tc>
      </w:tr>
      <w:tr w:rsidR="00A049E6" w:rsidRPr="00F57A11" w:rsidTr="00103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>Pohľadávky z nedaňových príjmov</w:t>
            </w:r>
          </w:p>
        </w:tc>
        <w:tc>
          <w:tcPr>
            <w:tcW w:w="816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184 608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179 464</w:t>
            </w:r>
          </w:p>
        </w:tc>
        <w:tc>
          <w:tcPr>
            <w:tcW w:w="850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215 231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212 012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200 422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193 222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188 134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188 995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251 737</w:t>
            </w:r>
          </w:p>
        </w:tc>
      </w:tr>
      <w:tr w:rsidR="00A049E6" w:rsidRPr="00F57A11" w:rsidTr="001034C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>Pohľadávky z daňových príjmov</w:t>
            </w:r>
          </w:p>
        </w:tc>
        <w:tc>
          <w:tcPr>
            <w:tcW w:w="816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91 311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104 799</w:t>
            </w:r>
          </w:p>
        </w:tc>
        <w:tc>
          <w:tcPr>
            <w:tcW w:w="850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111 338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143 915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142 319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181 961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176 581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212 913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241 669</w:t>
            </w:r>
          </w:p>
        </w:tc>
      </w:tr>
      <w:tr w:rsidR="00A049E6" w:rsidRPr="00F57A11" w:rsidTr="00103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Poskytnuté prevádzkové preddavky a ostatné pohľadávky </w:t>
            </w:r>
          </w:p>
        </w:tc>
        <w:tc>
          <w:tcPr>
            <w:tcW w:w="816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1 204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1 214</w:t>
            </w:r>
          </w:p>
        </w:tc>
        <w:tc>
          <w:tcPr>
            <w:tcW w:w="850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1 225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10 006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1 205</w:t>
            </w:r>
          </w:p>
        </w:tc>
      </w:tr>
      <w:tr w:rsidR="00A049E6" w:rsidRPr="00F57A11" w:rsidTr="001034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Iné pohľadávky </w:t>
            </w:r>
          </w:p>
        </w:tc>
        <w:tc>
          <w:tcPr>
            <w:tcW w:w="816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4 277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4 277</w:t>
            </w:r>
          </w:p>
        </w:tc>
        <w:tc>
          <w:tcPr>
            <w:tcW w:w="850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8 789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6 856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732</w:t>
            </w:r>
          </w:p>
        </w:tc>
      </w:tr>
      <w:tr w:rsidR="00A049E6" w:rsidRPr="00F57A11" w:rsidTr="00103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A049E6" w:rsidRPr="00681E94" w:rsidRDefault="00A049E6" w:rsidP="00A049E6">
            <w:pPr>
              <w:rPr>
                <w:rFonts w:ascii="Times New Roman" w:eastAsia="Times New Roman" w:hAnsi="Times New Roman" w:cs="Times New Roman"/>
                <w:bCs w:val="0"/>
                <w:color w:val="00000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lang w:eastAsia="sk-SK"/>
              </w:rPr>
              <w:t xml:space="preserve">SPOLU : </w:t>
            </w:r>
          </w:p>
        </w:tc>
        <w:tc>
          <w:tcPr>
            <w:tcW w:w="816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281 400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289 754</w:t>
            </w:r>
          </w:p>
        </w:tc>
        <w:tc>
          <w:tcPr>
            <w:tcW w:w="850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328 451</w:t>
            </w:r>
          </w:p>
        </w:tc>
        <w:tc>
          <w:tcPr>
            <w:tcW w:w="851" w:type="dxa"/>
            <w:noWrap/>
            <w:vAlign w:val="center"/>
            <w:hideMark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357 152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352 763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376 388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374 709</w:t>
            </w:r>
          </w:p>
        </w:tc>
        <w:tc>
          <w:tcPr>
            <w:tcW w:w="851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409 968</w:t>
            </w:r>
          </w:p>
        </w:tc>
        <w:tc>
          <w:tcPr>
            <w:tcW w:w="850" w:type="dxa"/>
            <w:vAlign w:val="center"/>
          </w:tcPr>
          <w:p w:rsidR="00A049E6" w:rsidRPr="00A049E6" w:rsidRDefault="00A049E6" w:rsidP="00A049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49E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495 344</w:t>
            </w:r>
          </w:p>
        </w:tc>
      </w:tr>
    </w:tbl>
    <w:p w:rsidR="00A33005" w:rsidRDefault="00A33005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D42C5E" w:rsidRPr="000750E4" w:rsidRDefault="00D42C5E" w:rsidP="00F57A11">
      <w:pPr>
        <w:pStyle w:val="Default"/>
        <w:ind w:firstLine="708"/>
        <w:jc w:val="both"/>
        <w:rPr>
          <w:b/>
          <w:sz w:val="22"/>
          <w:szCs w:val="22"/>
        </w:rPr>
      </w:pPr>
      <w:r w:rsidRPr="00EF1070">
        <w:rPr>
          <w:sz w:val="22"/>
          <w:szCs w:val="22"/>
        </w:rPr>
        <w:t>Z hľadiska vývoja</w:t>
      </w:r>
      <w:r w:rsidRPr="000750E4">
        <w:rPr>
          <w:sz w:val="22"/>
          <w:szCs w:val="22"/>
        </w:rPr>
        <w:t xml:space="preserve"> pohľadávok je zrejmé, že </w:t>
      </w:r>
      <w:r w:rsidR="00F86458">
        <w:rPr>
          <w:sz w:val="22"/>
          <w:szCs w:val="22"/>
        </w:rPr>
        <w:t>stúp</w:t>
      </w:r>
      <w:r w:rsidR="001034C7">
        <w:rPr>
          <w:sz w:val="22"/>
          <w:szCs w:val="22"/>
        </w:rPr>
        <w:t>a</w:t>
      </w:r>
      <w:r w:rsidR="00F86458">
        <w:rPr>
          <w:sz w:val="22"/>
          <w:szCs w:val="22"/>
        </w:rPr>
        <w:t>li</w:t>
      </w:r>
      <w:r w:rsidRPr="000750E4">
        <w:rPr>
          <w:sz w:val="22"/>
          <w:szCs w:val="22"/>
        </w:rPr>
        <w:t xml:space="preserve"> pohľadávky z nedaňových príjmov v lehote splatnosti </w:t>
      </w:r>
      <w:r w:rsidR="0007634E" w:rsidRPr="000750E4">
        <w:rPr>
          <w:sz w:val="22"/>
          <w:szCs w:val="22"/>
        </w:rPr>
        <w:t>o</w:t>
      </w:r>
      <w:r w:rsidR="001034C7">
        <w:rPr>
          <w:sz w:val="22"/>
          <w:szCs w:val="22"/>
        </w:rPr>
        <w:t xml:space="preserve"> 62.742€ (r.2018 </w:t>
      </w:r>
      <w:r w:rsidR="00F86458">
        <w:rPr>
          <w:sz w:val="22"/>
          <w:szCs w:val="22"/>
        </w:rPr>
        <w:t>860,34€</w:t>
      </w:r>
      <w:r w:rsidR="001034C7">
        <w:rPr>
          <w:sz w:val="22"/>
          <w:szCs w:val="22"/>
        </w:rPr>
        <w:t xml:space="preserve">) </w:t>
      </w:r>
      <w:r w:rsidR="00EF1070">
        <w:rPr>
          <w:sz w:val="22"/>
          <w:szCs w:val="22"/>
        </w:rPr>
        <w:t>(komunálny odpad, nájomné a ostatné pohľadávky (nebytové priestory a pozemky, pohľadávky za opatrovateľskú činnosť)</w:t>
      </w:r>
      <w:r w:rsidR="0007634E" w:rsidRPr="000750E4">
        <w:rPr>
          <w:sz w:val="22"/>
          <w:szCs w:val="22"/>
        </w:rPr>
        <w:t xml:space="preserve">. </w:t>
      </w:r>
      <w:r w:rsidRPr="000750E4">
        <w:rPr>
          <w:sz w:val="22"/>
          <w:szCs w:val="22"/>
        </w:rPr>
        <w:t xml:space="preserve"> </w:t>
      </w:r>
      <w:r w:rsidR="001773BB" w:rsidRPr="000750E4">
        <w:rPr>
          <w:sz w:val="22"/>
          <w:szCs w:val="22"/>
        </w:rPr>
        <w:t xml:space="preserve">V oblasti vývoja pohľadávok z daňových príjmov </w:t>
      </w:r>
      <w:r w:rsidR="000439CE">
        <w:rPr>
          <w:sz w:val="22"/>
          <w:szCs w:val="22"/>
        </w:rPr>
        <w:t xml:space="preserve">stúpali </w:t>
      </w:r>
      <w:r w:rsidR="00DE2C00">
        <w:rPr>
          <w:sz w:val="22"/>
          <w:szCs w:val="22"/>
        </w:rPr>
        <w:t xml:space="preserve">o 28.756€ (r.2018 </w:t>
      </w:r>
      <w:r w:rsidR="00635207">
        <w:rPr>
          <w:sz w:val="22"/>
          <w:szCs w:val="22"/>
        </w:rPr>
        <w:t xml:space="preserve">o 36.331,89€ (daň z nehnuteľnosti a penále). </w:t>
      </w:r>
      <w:r w:rsidR="00DE2C00" w:rsidRPr="00DE2C00">
        <w:rPr>
          <w:b/>
          <w:sz w:val="22"/>
          <w:szCs w:val="22"/>
        </w:rPr>
        <w:t>Naďalej p</w:t>
      </w:r>
      <w:r w:rsidR="005B69C3" w:rsidRPr="00DE2C00">
        <w:rPr>
          <w:b/>
          <w:sz w:val="22"/>
          <w:szCs w:val="22"/>
        </w:rPr>
        <w:t>retrvávajúci</w:t>
      </w:r>
      <w:r w:rsidR="005B69C3" w:rsidRPr="00CD6E42">
        <w:rPr>
          <w:b/>
          <w:sz w:val="22"/>
          <w:szCs w:val="22"/>
        </w:rPr>
        <w:t xml:space="preserve"> </w:t>
      </w:r>
      <w:r w:rsidR="00EF1070" w:rsidRPr="00CD6E42">
        <w:rPr>
          <w:b/>
          <w:sz w:val="22"/>
          <w:szCs w:val="22"/>
        </w:rPr>
        <w:t xml:space="preserve">nárast a </w:t>
      </w:r>
      <w:r w:rsidR="005B69C3" w:rsidRPr="00CD6E42">
        <w:rPr>
          <w:b/>
          <w:sz w:val="22"/>
          <w:szCs w:val="22"/>
        </w:rPr>
        <w:t xml:space="preserve">vysoký zostatok pohľadávok z daňových </w:t>
      </w:r>
      <w:r w:rsidR="00A049E6">
        <w:rPr>
          <w:b/>
          <w:sz w:val="22"/>
          <w:szCs w:val="22"/>
        </w:rPr>
        <w:t>aj</w:t>
      </w:r>
      <w:r w:rsidR="005B69C3" w:rsidRPr="00CD6E42">
        <w:rPr>
          <w:b/>
          <w:sz w:val="22"/>
          <w:szCs w:val="22"/>
        </w:rPr>
        <w:t> nedaňových príjmov, nárast ostatných pohľadávok možno hodnotiť</w:t>
      </w:r>
      <w:r w:rsidR="00A049E6">
        <w:rPr>
          <w:b/>
          <w:sz w:val="22"/>
          <w:szCs w:val="22"/>
        </w:rPr>
        <w:t xml:space="preserve"> veľmi </w:t>
      </w:r>
      <w:r w:rsidR="005B69C3" w:rsidRPr="00CD6E42">
        <w:rPr>
          <w:b/>
          <w:sz w:val="22"/>
          <w:szCs w:val="22"/>
        </w:rPr>
        <w:t>negatívne</w:t>
      </w:r>
      <w:r w:rsidR="00B958F0" w:rsidRPr="00CD6E42">
        <w:rPr>
          <w:b/>
          <w:sz w:val="22"/>
          <w:szCs w:val="22"/>
        </w:rPr>
        <w:t>.</w:t>
      </w:r>
      <w:r w:rsidR="00B958F0" w:rsidRPr="000750E4">
        <w:rPr>
          <w:b/>
          <w:sz w:val="22"/>
          <w:szCs w:val="22"/>
        </w:rPr>
        <w:t xml:space="preserve"> </w:t>
      </w:r>
    </w:p>
    <w:p w:rsidR="00F57A11" w:rsidRPr="000750E4" w:rsidRDefault="00F57A11" w:rsidP="0050438F">
      <w:pPr>
        <w:pStyle w:val="Default"/>
        <w:jc w:val="both"/>
        <w:rPr>
          <w:sz w:val="22"/>
          <w:szCs w:val="22"/>
        </w:rPr>
      </w:pPr>
    </w:p>
    <w:p w:rsidR="00F57A11" w:rsidRPr="00C51590" w:rsidRDefault="00B958F0" w:rsidP="008908F5">
      <w:pPr>
        <w:pStyle w:val="Default"/>
        <w:ind w:firstLine="708"/>
        <w:jc w:val="both"/>
        <w:rPr>
          <w:iCs/>
          <w:smallCaps/>
          <w:sz w:val="22"/>
          <w:szCs w:val="22"/>
        </w:rPr>
      </w:pPr>
      <w:r w:rsidRPr="000750E4">
        <w:rPr>
          <w:sz w:val="22"/>
          <w:szCs w:val="22"/>
        </w:rPr>
        <w:t xml:space="preserve">Na základe zhodnotenia </w:t>
      </w:r>
      <w:r w:rsidR="00A049E6">
        <w:rPr>
          <w:sz w:val="22"/>
          <w:szCs w:val="22"/>
        </w:rPr>
        <w:t>dlhodobého</w:t>
      </w:r>
      <w:r w:rsidR="000439CE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vývoja stavu a štruktúry pohľadávok</w:t>
      </w:r>
      <w:r w:rsidR="00F57A11" w:rsidRPr="000750E4">
        <w:rPr>
          <w:sz w:val="22"/>
          <w:szCs w:val="22"/>
        </w:rPr>
        <w:t xml:space="preserve"> </w:t>
      </w:r>
      <w:r w:rsidR="00A049E6" w:rsidRPr="00882E1A">
        <w:rPr>
          <w:b/>
          <w:sz w:val="22"/>
          <w:szCs w:val="22"/>
        </w:rPr>
        <w:t xml:space="preserve">upozorňujem, že </w:t>
      </w:r>
      <w:r w:rsidR="00F57A11" w:rsidRPr="00882E1A">
        <w:rPr>
          <w:b/>
          <w:sz w:val="22"/>
          <w:szCs w:val="22"/>
        </w:rPr>
        <w:t xml:space="preserve">je </w:t>
      </w:r>
      <w:r w:rsidR="00CC6BA6" w:rsidRPr="00882E1A">
        <w:rPr>
          <w:b/>
          <w:sz w:val="22"/>
          <w:szCs w:val="22"/>
        </w:rPr>
        <w:t>potrebné</w:t>
      </w:r>
      <w:r w:rsidRPr="00882E1A">
        <w:rPr>
          <w:b/>
          <w:sz w:val="22"/>
          <w:szCs w:val="22"/>
        </w:rPr>
        <w:t xml:space="preserve"> </w:t>
      </w:r>
      <w:r w:rsidR="00B344F9" w:rsidRPr="00882E1A">
        <w:rPr>
          <w:b/>
          <w:sz w:val="22"/>
          <w:szCs w:val="22"/>
        </w:rPr>
        <w:t xml:space="preserve">okamžite </w:t>
      </w:r>
      <w:r w:rsidR="00882E1A" w:rsidRPr="00882E1A">
        <w:rPr>
          <w:b/>
          <w:sz w:val="22"/>
          <w:szCs w:val="22"/>
        </w:rPr>
        <w:t>pre</w:t>
      </w:r>
      <w:r w:rsidR="00B344F9" w:rsidRPr="00882E1A">
        <w:rPr>
          <w:b/>
          <w:sz w:val="22"/>
          <w:szCs w:val="22"/>
        </w:rPr>
        <w:t>hodnotiť proces</w:t>
      </w:r>
      <w:r w:rsidR="00882E1A" w:rsidRPr="00882E1A">
        <w:rPr>
          <w:b/>
          <w:sz w:val="22"/>
          <w:szCs w:val="22"/>
        </w:rPr>
        <w:t xml:space="preserve">ný postup vymáhania, </w:t>
      </w:r>
      <w:r w:rsidR="00D208C8" w:rsidRPr="00882E1A">
        <w:rPr>
          <w:b/>
          <w:sz w:val="22"/>
          <w:szCs w:val="22"/>
        </w:rPr>
        <w:t xml:space="preserve">začať </w:t>
      </w:r>
      <w:r w:rsidR="00B344F9" w:rsidRPr="00882E1A">
        <w:rPr>
          <w:b/>
          <w:sz w:val="22"/>
          <w:szCs w:val="22"/>
        </w:rPr>
        <w:t>intenzívne a</w:t>
      </w:r>
      <w:r w:rsidR="00882E1A">
        <w:rPr>
          <w:b/>
          <w:sz w:val="22"/>
          <w:szCs w:val="22"/>
        </w:rPr>
        <w:t xml:space="preserve"> vykonávať </w:t>
      </w:r>
      <w:r w:rsidR="00AC3FFF" w:rsidRPr="00882E1A">
        <w:rPr>
          <w:b/>
          <w:sz w:val="22"/>
          <w:szCs w:val="22"/>
        </w:rPr>
        <w:t xml:space="preserve">efektívne </w:t>
      </w:r>
      <w:r w:rsidR="00882E1A">
        <w:rPr>
          <w:b/>
          <w:sz w:val="22"/>
          <w:szCs w:val="22"/>
        </w:rPr>
        <w:t>spôsoby vymáhania</w:t>
      </w:r>
      <w:r w:rsidR="00F57A11" w:rsidRPr="000750E4">
        <w:rPr>
          <w:b/>
          <w:sz w:val="22"/>
          <w:szCs w:val="22"/>
        </w:rPr>
        <w:t xml:space="preserve"> daňových nedoplatkov</w:t>
      </w:r>
      <w:r w:rsidR="008908F5" w:rsidRPr="000750E4">
        <w:rPr>
          <w:b/>
          <w:sz w:val="22"/>
          <w:szCs w:val="22"/>
        </w:rPr>
        <w:t xml:space="preserve">, </w:t>
      </w:r>
      <w:r w:rsidR="008908F5" w:rsidRPr="000750E4">
        <w:rPr>
          <w:rFonts w:eastAsia="Times New Roman"/>
          <w:b/>
          <w:sz w:val="22"/>
          <w:szCs w:val="22"/>
          <w:lang w:eastAsia="sk-SK"/>
        </w:rPr>
        <w:t>zvýšiť interné úkony v oblasti zisťovania daňových dlžníko</w:t>
      </w:r>
      <w:r w:rsidR="00AC3FFF" w:rsidRPr="000750E4">
        <w:rPr>
          <w:rFonts w:eastAsia="Times New Roman"/>
          <w:b/>
          <w:sz w:val="22"/>
          <w:szCs w:val="22"/>
          <w:lang w:eastAsia="sk-SK"/>
        </w:rPr>
        <w:t>v a výkon</w:t>
      </w:r>
      <w:r w:rsidR="008908F5" w:rsidRPr="000750E4">
        <w:rPr>
          <w:rFonts w:eastAsia="Times New Roman"/>
          <w:b/>
          <w:sz w:val="22"/>
          <w:szCs w:val="22"/>
          <w:lang w:eastAsia="sk-SK"/>
        </w:rPr>
        <w:t xml:space="preserve"> zabezpečovacích úkonoch u daňových dlžníkov</w:t>
      </w:r>
      <w:r w:rsidR="00F57A11" w:rsidRPr="000750E4">
        <w:rPr>
          <w:sz w:val="22"/>
          <w:szCs w:val="22"/>
        </w:rPr>
        <w:t xml:space="preserve">. </w:t>
      </w:r>
      <w:r w:rsidR="008908F5" w:rsidRPr="000750E4">
        <w:rPr>
          <w:b/>
          <w:sz w:val="22"/>
          <w:szCs w:val="22"/>
        </w:rPr>
        <w:t>Efektívnym riešením môže byť</w:t>
      </w:r>
      <w:r w:rsidRPr="000750E4">
        <w:rPr>
          <w:b/>
          <w:sz w:val="22"/>
          <w:szCs w:val="22"/>
        </w:rPr>
        <w:t xml:space="preserve"> vykonávanie on-line exekúcií na bankový účet a okamžité vykonanie úkonov smerujúcich k zabezpečeniu majetku</w:t>
      </w:r>
      <w:r w:rsidR="00C8206E" w:rsidRPr="000750E4">
        <w:rPr>
          <w:b/>
          <w:sz w:val="22"/>
          <w:szCs w:val="22"/>
        </w:rPr>
        <w:t xml:space="preserve"> dlžníka</w:t>
      </w:r>
      <w:r w:rsidR="00635207">
        <w:rPr>
          <w:b/>
          <w:sz w:val="22"/>
          <w:szCs w:val="22"/>
        </w:rPr>
        <w:t xml:space="preserve">. </w:t>
      </w:r>
      <w:r w:rsidR="00EF1070">
        <w:rPr>
          <w:b/>
          <w:sz w:val="22"/>
          <w:szCs w:val="22"/>
        </w:rPr>
        <w:t xml:space="preserve"> </w:t>
      </w:r>
      <w:r w:rsidR="00882E1A" w:rsidRPr="00C51590">
        <w:rPr>
          <w:i/>
          <w:sz w:val="22"/>
          <w:szCs w:val="22"/>
        </w:rPr>
        <w:t>(</w:t>
      </w:r>
      <w:r w:rsidR="00C51590" w:rsidRPr="00C51590">
        <w:rPr>
          <w:i/>
          <w:sz w:val="22"/>
          <w:szCs w:val="22"/>
        </w:rPr>
        <w:t>k 31.3.2020 odstúpené na vymáhanie (externé) 253.410,10€, vymožené 42.893,28€</w:t>
      </w:r>
      <w:r w:rsidR="00C51590">
        <w:rPr>
          <w:i/>
          <w:sz w:val="22"/>
          <w:szCs w:val="22"/>
        </w:rPr>
        <w:t>.</w:t>
      </w:r>
      <w:r w:rsidR="00C51590" w:rsidRPr="00C51590">
        <w:rPr>
          <w:i/>
          <w:sz w:val="22"/>
          <w:szCs w:val="22"/>
        </w:rPr>
        <w:t>)</w:t>
      </w:r>
    </w:p>
    <w:p w:rsidR="00B344F9" w:rsidRPr="000750E4" w:rsidRDefault="00B344F9" w:rsidP="00F57A11">
      <w:pPr>
        <w:pStyle w:val="Default"/>
        <w:jc w:val="both"/>
        <w:rPr>
          <w:b/>
          <w:iCs/>
          <w:smallCaps/>
          <w:sz w:val="22"/>
          <w:szCs w:val="22"/>
        </w:rPr>
      </w:pPr>
    </w:p>
    <w:p w:rsidR="00047BB3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Bilancia záväzkov </w:t>
      </w:r>
    </w:p>
    <w:p w:rsidR="00C51590" w:rsidRDefault="00C51590" w:rsidP="0050438F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4A6CB9" w:rsidRPr="00E07C67" w:rsidRDefault="004A6CB9" w:rsidP="0050438F">
      <w:pPr>
        <w:pStyle w:val="Default"/>
        <w:jc w:val="both"/>
        <w:rPr>
          <w:iCs/>
          <w:sz w:val="22"/>
          <w:szCs w:val="22"/>
        </w:rPr>
      </w:pPr>
      <w:r>
        <w:rPr>
          <w:b/>
          <w:iCs/>
          <w:sz w:val="26"/>
          <w:szCs w:val="26"/>
        </w:rPr>
        <w:tab/>
      </w:r>
      <w:r w:rsidRPr="000750E4">
        <w:rPr>
          <w:iCs/>
          <w:sz w:val="22"/>
          <w:szCs w:val="22"/>
        </w:rPr>
        <w:t>Prehľad výv</w:t>
      </w:r>
      <w:r w:rsidR="00635207">
        <w:rPr>
          <w:iCs/>
          <w:sz w:val="22"/>
          <w:szCs w:val="22"/>
        </w:rPr>
        <w:t>oja záväzkov za roky 2011</w:t>
      </w:r>
      <w:r w:rsidR="009A5738" w:rsidRPr="000750E4">
        <w:rPr>
          <w:iCs/>
          <w:sz w:val="22"/>
          <w:szCs w:val="22"/>
        </w:rPr>
        <w:t xml:space="preserve"> – 201</w:t>
      </w:r>
      <w:r w:rsidR="0097255E">
        <w:rPr>
          <w:iCs/>
          <w:sz w:val="22"/>
          <w:szCs w:val="22"/>
        </w:rPr>
        <w:t>9</w:t>
      </w:r>
      <w:r w:rsidR="000750E4">
        <w:rPr>
          <w:iCs/>
          <w:sz w:val="18"/>
          <w:szCs w:val="18"/>
        </w:rPr>
        <w:tab/>
      </w:r>
      <w:r w:rsidR="000750E4">
        <w:rPr>
          <w:iCs/>
          <w:sz w:val="18"/>
          <w:szCs w:val="18"/>
        </w:rPr>
        <w:tab/>
      </w:r>
      <w:r w:rsidR="00E07C67">
        <w:rPr>
          <w:iCs/>
          <w:sz w:val="18"/>
          <w:szCs w:val="18"/>
        </w:rPr>
        <w:tab/>
      </w:r>
      <w:r w:rsidR="000750E4" w:rsidRPr="00DD26F9">
        <w:rPr>
          <w:iCs/>
          <w:sz w:val="18"/>
          <w:szCs w:val="18"/>
        </w:rPr>
        <w:t xml:space="preserve">v tis. Eur </w:t>
      </w:r>
      <w:r w:rsidR="000750E4" w:rsidRPr="00DD26F9">
        <w:rPr>
          <w:iCs/>
          <w:sz w:val="18"/>
          <w:szCs w:val="18"/>
        </w:rPr>
        <w:tab/>
      </w:r>
      <w:r w:rsidR="00D61EFD" w:rsidRPr="00DD26F9">
        <w:rPr>
          <w:iCs/>
          <w:sz w:val="18"/>
          <w:szCs w:val="18"/>
        </w:rPr>
        <w:t>ta</w:t>
      </w:r>
      <w:r w:rsidRPr="00DD26F9">
        <w:rPr>
          <w:iCs/>
          <w:sz w:val="18"/>
          <w:szCs w:val="18"/>
        </w:rPr>
        <w:t>b.</w:t>
      </w:r>
      <w:r w:rsidR="005D7F0B" w:rsidRPr="00DD26F9">
        <w:rPr>
          <w:iCs/>
          <w:sz w:val="18"/>
          <w:szCs w:val="18"/>
        </w:rPr>
        <w:t xml:space="preserve"> </w:t>
      </w:r>
      <w:r w:rsidRPr="00DD26F9">
        <w:rPr>
          <w:iCs/>
          <w:sz w:val="18"/>
          <w:szCs w:val="18"/>
        </w:rPr>
        <w:t>č. 1</w:t>
      </w:r>
      <w:r w:rsidR="005D7F0B" w:rsidRPr="00DD26F9">
        <w:rPr>
          <w:iCs/>
          <w:sz w:val="18"/>
          <w:szCs w:val="18"/>
        </w:rPr>
        <w:t>1</w:t>
      </w:r>
    </w:p>
    <w:tbl>
      <w:tblPr>
        <w:tblStyle w:val="Obyajntabuka1"/>
        <w:tblW w:w="8066" w:type="dxa"/>
        <w:tblLook w:val="04A0" w:firstRow="1" w:lastRow="0" w:firstColumn="1" w:lastColumn="0" w:noHBand="0" w:noVBand="1"/>
      </w:tblPr>
      <w:tblGrid>
        <w:gridCol w:w="1484"/>
        <w:gridCol w:w="779"/>
        <w:gridCol w:w="709"/>
        <w:gridCol w:w="709"/>
        <w:gridCol w:w="709"/>
        <w:gridCol w:w="708"/>
        <w:gridCol w:w="709"/>
        <w:gridCol w:w="749"/>
        <w:gridCol w:w="810"/>
        <w:gridCol w:w="700"/>
      </w:tblGrid>
      <w:tr w:rsidR="0097255E" w:rsidRPr="004A6CB9" w:rsidTr="0097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Druh záväzkov  /rok </w:t>
            </w:r>
          </w:p>
        </w:tc>
        <w:tc>
          <w:tcPr>
            <w:tcW w:w="779" w:type="dxa"/>
            <w:noWrap/>
            <w:vAlign w:val="bottom"/>
            <w:hideMark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709" w:type="dxa"/>
            <w:noWrap/>
            <w:vAlign w:val="bottom"/>
            <w:hideMark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709" w:type="dxa"/>
            <w:noWrap/>
            <w:vAlign w:val="bottom"/>
            <w:hideMark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09" w:type="dxa"/>
            <w:noWrap/>
            <w:vAlign w:val="bottom"/>
            <w:hideMark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08" w:type="dxa"/>
            <w:vAlign w:val="bottom"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9" w:type="dxa"/>
            <w:vAlign w:val="bottom"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749" w:type="dxa"/>
            <w:vAlign w:val="bottom"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10" w:type="dxa"/>
            <w:vAlign w:val="bottom"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00" w:type="dxa"/>
            <w:vAlign w:val="bottom"/>
          </w:tcPr>
          <w:p w:rsidR="0097255E" w:rsidRPr="0097255E" w:rsidRDefault="0097255E" w:rsidP="009725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2019</w:t>
            </w:r>
          </w:p>
        </w:tc>
      </w:tr>
      <w:tr w:rsidR="0097255E" w:rsidRPr="004A6CB9" w:rsidTr="0097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záväzky voči dodávateľom 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</w:tr>
      <w:tr w:rsidR="0097255E" w:rsidRPr="004A6CB9" w:rsidTr="0097255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záväzky voči zamestnancom 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</w:tr>
      <w:tr w:rsidR="0097255E" w:rsidRPr="004A6CB9" w:rsidTr="0097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záväzky voči poisťovniam 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</w:tr>
      <w:tr w:rsidR="0097255E" w:rsidRPr="004A6CB9" w:rsidTr="0097255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>ostatné záväzky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</w:tr>
      <w:tr w:rsidR="0097255E" w:rsidRPr="004A6CB9" w:rsidTr="0097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lastRenderedPageBreak/>
              <w:t xml:space="preserve">nesplatené úvery 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2288</w:t>
            </w:r>
          </w:p>
        </w:tc>
      </w:tr>
      <w:tr w:rsidR="0097255E" w:rsidRPr="004A6CB9" w:rsidTr="0097255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noWrap/>
            <w:hideMark/>
          </w:tcPr>
          <w:p w:rsidR="0097255E" w:rsidRPr="00681E94" w:rsidRDefault="0097255E" w:rsidP="0097255E">
            <w:pPr>
              <w:rPr>
                <w:rFonts w:ascii="Times New Roman" w:eastAsia="Times New Roman" w:hAnsi="Times New Roman" w:cs="Times New Roman"/>
                <w:bCs w:val="0"/>
                <w:color w:val="00000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lang w:eastAsia="sk-SK"/>
              </w:rPr>
              <w:t xml:space="preserve">SPOLU : </w:t>
            </w:r>
          </w:p>
        </w:tc>
        <w:tc>
          <w:tcPr>
            <w:tcW w:w="77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709" w:type="dxa"/>
            <w:noWrap/>
            <w:vAlign w:val="center"/>
            <w:hideMark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708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70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749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81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700" w:type="dxa"/>
            <w:vAlign w:val="center"/>
          </w:tcPr>
          <w:p w:rsidR="0097255E" w:rsidRPr="0097255E" w:rsidRDefault="0097255E" w:rsidP="009725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255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2865</w:t>
            </w:r>
          </w:p>
        </w:tc>
      </w:tr>
    </w:tbl>
    <w:p w:rsidR="001D1DCA" w:rsidRDefault="005A29D7" w:rsidP="00624D20">
      <w:pPr>
        <w:pStyle w:val="Default"/>
        <w:jc w:val="both"/>
        <w:rPr>
          <w:iCs/>
        </w:rPr>
      </w:pPr>
      <w:r>
        <w:rPr>
          <w:iCs/>
        </w:rPr>
        <w:tab/>
      </w:r>
    </w:p>
    <w:p w:rsidR="00624D20" w:rsidRPr="000750E4" w:rsidRDefault="00F55F60" w:rsidP="00624D20">
      <w:pPr>
        <w:pStyle w:val="Default"/>
        <w:jc w:val="both"/>
        <w:rPr>
          <w:iCs/>
          <w:sz w:val="22"/>
          <w:szCs w:val="22"/>
        </w:rPr>
      </w:pPr>
      <w:r>
        <w:rPr>
          <w:iCs/>
          <w:sz w:val="23"/>
          <w:szCs w:val="23"/>
        </w:rPr>
        <w:tab/>
      </w:r>
      <w:r w:rsidR="001D1DCA" w:rsidRPr="000750E4">
        <w:rPr>
          <w:iCs/>
          <w:sz w:val="22"/>
          <w:szCs w:val="22"/>
        </w:rPr>
        <w:t xml:space="preserve">Mesto eviduje záväzky v celkovej hodnote </w:t>
      </w:r>
      <w:r w:rsidR="00446241">
        <w:rPr>
          <w:iCs/>
          <w:sz w:val="22"/>
          <w:szCs w:val="22"/>
        </w:rPr>
        <w:t xml:space="preserve">2.865.000€ (r.2018 </w:t>
      </w:r>
      <w:r w:rsidR="0069746A">
        <w:rPr>
          <w:iCs/>
          <w:sz w:val="22"/>
          <w:szCs w:val="22"/>
        </w:rPr>
        <w:t>1.</w:t>
      </w:r>
      <w:r w:rsidR="000D7193">
        <w:rPr>
          <w:iCs/>
          <w:sz w:val="22"/>
          <w:szCs w:val="22"/>
        </w:rPr>
        <w:t>915</w:t>
      </w:r>
      <w:r w:rsidR="0069746A">
        <w:rPr>
          <w:iCs/>
          <w:sz w:val="22"/>
          <w:szCs w:val="22"/>
        </w:rPr>
        <w:t>.000€</w:t>
      </w:r>
      <w:r w:rsidR="00446241">
        <w:rPr>
          <w:iCs/>
          <w:sz w:val="22"/>
          <w:szCs w:val="22"/>
        </w:rPr>
        <w:t>)</w:t>
      </w:r>
      <w:r w:rsidRPr="000750E4">
        <w:rPr>
          <w:iCs/>
          <w:sz w:val="22"/>
          <w:szCs w:val="22"/>
        </w:rPr>
        <w:t xml:space="preserve">, celková výška záväzkov mesta dosiahla úroveň </w:t>
      </w:r>
      <w:r w:rsidR="00446241">
        <w:rPr>
          <w:iCs/>
          <w:sz w:val="22"/>
          <w:szCs w:val="22"/>
        </w:rPr>
        <w:t xml:space="preserve">21,24% (r.2018 </w:t>
      </w:r>
      <w:r w:rsidR="000D7193">
        <w:rPr>
          <w:iCs/>
          <w:sz w:val="22"/>
          <w:szCs w:val="22"/>
        </w:rPr>
        <w:t>15,</w:t>
      </w:r>
      <w:r w:rsidR="0069746A">
        <w:rPr>
          <w:iCs/>
          <w:sz w:val="22"/>
          <w:szCs w:val="22"/>
        </w:rPr>
        <w:t>9</w:t>
      </w:r>
      <w:r w:rsidR="000D7193">
        <w:rPr>
          <w:iCs/>
          <w:sz w:val="22"/>
          <w:szCs w:val="22"/>
        </w:rPr>
        <w:t>1</w:t>
      </w:r>
      <w:r w:rsidR="00446241">
        <w:rPr>
          <w:iCs/>
          <w:sz w:val="22"/>
          <w:szCs w:val="22"/>
        </w:rPr>
        <w:t xml:space="preserve">%, </w:t>
      </w:r>
      <w:r w:rsidR="0069746A">
        <w:rPr>
          <w:iCs/>
          <w:sz w:val="22"/>
          <w:szCs w:val="22"/>
        </w:rPr>
        <w:t xml:space="preserve">r.2017 10,08%, </w:t>
      </w:r>
      <w:r w:rsidR="0007514D" w:rsidRPr="000750E4">
        <w:rPr>
          <w:iCs/>
          <w:sz w:val="22"/>
          <w:szCs w:val="22"/>
        </w:rPr>
        <w:t xml:space="preserve">r.2016 </w:t>
      </w:r>
      <w:r w:rsidR="00872C5C" w:rsidRPr="000750E4">
        <w:rPr>
          <w:iCs/>
          <w:sz w:val="22"/>
          <w:szCs w:val="22"/>
        </w:rPr>
        <w:t>16,25</w:t>
      </w:r>
      <w:r w:rsidRPr="000750E4">
        <w:rPr>
          <w:iCs/>
          <w:sz w:val="22"/>
          <w:szCs w:val="22"/>
        </w:rPr>
        <w:t>%</w:t>
      </w:r>
      <w:r w:rsidR="0007514D" w:rsidRPr="000750E4">
        <w:rPr>
          <w:iCs/>
          <w:sz w:val="22"/>
          <w:szCs w:val="22"/>
        </w:rPr>
        <w:t>, r.2015 3</w:t>
      </w:r>
      <w:r w:rsidR="00872C5C" w:rsidRPr="000750E4">
        <w:rPr>
          <w:iCs/>
          <w:sz w:val="22"/>
          <w:szCs w:val="22"/>
        </w:rPr>
        <w:t>2,63</w:t>
      </w:r>
      <w:r w:rsidRPr="000750E4">
        <w:rPr>
          <w:iCs/>
          <w:sz w:val="22"/>
          <w:szCs w:val="22"/>
        </w:rPr>
        <w:t xml:space="preserve">%) </w:t>
      </w:r>
      <w:r w:rsidR="00872C5C" w:rsidRPr="000750E4">
        <w:rPr>
          <w:iCs/>
          <w:sz w:val="22"/>
          <w:szCs w:val="22"/>
        </w:rPr>
        <w:t xml:space="preserve">zo </w:t>
      </w:r>
      <w:r w:rsidRPr="000750E4">
        <w:rPr>
          <w:iCs/>
          <w:sz w:val="22"/>
          <w:szCs w:val="22"/>
        </w:rPr>
        <w:t xml:space="preserve">skutočných bežných príjmov. </w:t>
      </w:r>
      <w:r w:rsidR="004A6CB9" w:rsidRPr="000750E4">
        <w:rPr>
          <w:iCs/>
          <w:sz w:val="22"/>
          <w:szCs w:val="22"/>
        </w:rPr>
        <w:t>V medziročnom období došlo k</w:t>
      </w:r>
      <w:r w:rsidR="001D1DCA" w:rsidRPr="000750E4">
        <w:rPr>
          <w:iCs/>
          <w:sz w:val="22"/>
          <w:szCs w:val="22"/>
        </w:rPr>
        <w:t> </w:t>
      </w:r>
      <w:r w:rsidR="0069746A">
        <w:rPr>
          <w:iCs/>
          <w:sz w:val="22"/>
          <w:szCs w:val="22"/>
        </w:rPr>
        <w:t>nárastu</w:t>
      </w:r>
      <w:r w:rsidR="001D1DCA" w:rsidRPr="000750E4">
        <w:rPr>
          <w:iCs/>
          <w:sz w:val="22"/>
          <w:szCs w:val="22"/>
        </w:rPr>
        <w:t xml:space="preserve"> záväzkov voči </w:t>
      </w:r>
      <w:r w:rsidR="00165C69" w:rsidRPr="000750E4">
        <w:rPr>
          <w:iCs/>
          <w:sz w:val="22"/>
          <w:szCs w:val="22"/>
        </w:rPr>
        <w:t>dodávateľom, nárastu záväzkov voči zamestnanc</w:t>
      </w:r>
      <w:r w:rsidR="00446241">
        <w:rPr>
          <w:iCs/>
          <w:sz w:val="22"/>
          <w:szCs w:val="22"/>
        </w:rPr>
        <w:t xml:space="preserve">om </w:t>
      </w:r>
      <w:r w:rsidR="0069746A">
        <w:rPr>
          <w:iCs/>
          <w:sz w:val="22"/>
          <w:szCs w:val="22"/>
        </w:rPr>
        <w:t xml:space="preserve">a nesplatených úverov. </w:t>
      </w:r>
      <w:r w:rsidR="00075680">
        <w:rPr>
          <w:iCs/>
          <w:sz w:val="22"/>
          <w:szCs w:val="22"/>
        </w:rPr>
        <w:t>Jedná sa o dodávateľské faktúry, ktoré účtovne patria do rozpočtového roka 2019 avšak charakterom už patria do záväzkov roku 2019 a ich úhrada bola prevedená v roku 2020 (likvidácia odpadu a </w:t>
      </w:r>
      <w:proofErr w:type="spellStart"/>
      <w:r w:rsidR="00075680">
        <w:rPr>
          <w:iCs/>
          <w:sz w:val="22"/>
          <w:szCs w:val="22"/>
        </w:rPr>
        <w:t>kompostáreň</w:t>
      </w:r>
      <w:proofErr w:type="spellEnd"/>
      <w:r w:rsidR="00075680">
        <w:rPr>
          <w:iCs/>
          <w:sz w:val="22"/>
          <w:szCs w:val="22"/>
        </w:rPr>
        <w:t xml:space="preserve">, stavebné práce – prístupová komunikácia zimný štadión, rekonštrukcia DK, rekonštrukcia OD Družba, vodné a stočné, elektrická energia a dodávka tepla a služieb. </w:t>
      </w:r>
    </w:p>
    <w:p w:rsidR="009A5738" w:rsidRPr="000750E4" w:rsidRDefault="009A5738" w:rsidP="00624D20">
      <w:pPr>
        <w:pStyle w:val="Default"/>
        <w:jc w:val="both"/>
        <w:rPr>
          <w:iCs/>
          <w:sz w:val="22"/>
          <w:szCs w:val="22"/>
        </w:rPr>
      </w:pPr>
    </w:p>
    <w:p w:rsidR="0001610C" w:rsidRPr="000750E4" w:rsidRDefault="0001610C" w:rsidP="00624D20">
      <w:pPr>
        <w:pStyle w:val="Default"/>
        <w:ind w:firstLine="708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>Záväzky vyplývajúce z plnenia</w:t>
      </w:r>
      <w:r w:rsidR="009A5738" w:rsidRPr="000750E4">
        <w:rPr>
          <w:b/>
          <w:bCs/>
          <w:sz w:val="22"/>
          <w:szCs w:val="22"/>
        </w:rPr>
        <w:t xml:space="preserve"> povinností si mesto v roku 201</w:t>
      </w:r>
      <w:r w:rsidR="00446241">
        <w:rPr>
          <w:b/>
          <w:bCs/>
          <w:sz w:val="22"/>
          <w:szCs w:val="22"/>
        </w:rPr>
        <w:t>9</w:t>
      </w:r>
      <w:r w:rsidRPr="000750E4">
        <w:rPr>
          <w:b/>
          <w:bCs/>
          <w:sz w:val="22"/>
          <w:szCs w:val="22"/>
        </w:rPr>
        <w:t xml:space="preserve"> plnilo tak, ako vyplýva z ustanovenia § 7 ods. 1 zák. č. 583/2004 o rozpočtových pravidlách územnej samosprávy v znení neskorších predpisov. Mesto </w:t>
      </w:r>
      <w:r w:rsidR="00A52865" w:rsidRPr="000750E4">
        <w:rPr>
          <w:b/>
          <w:bCs/>
          <w:sz w:val="22"/>
          <w:szCs w:val="22"/>
        </w:rPr>
        <w:t>ne</w:t>
      </w:r>
      <w:r w:rsidRPr="000750E4">
        <w:rPr>
          <w:b/>
          <w:bCs/>
          <w:sz w:val="22"/>
          <w:szCs w:val="22"/>
        </w:rPr>
        <w:t>eviduje záväzky po lehote</w:t>
      </w:r>
      <w:r w:rsidR="00A52865" w:rsidRPr="000750E4">
        <w:rPr>
          <w:b/>
          <w:bCs/>
          <w:sz w:val="22"/>
          <w:szCs w:val="22"/>
        </w:rPr>
        <w:t xml:space="preserve"> splatnosti</w:t>
      </w:r>
      <w:r w:rsidR="000704D2" w:rsidRPr="000750E4">
        <w:rPr>
          <w:b/>
          <w:bCs/>
          <w:sz w:val="22"/>
          <w:szCs w:val="22"/>
        </w:rPr>
        <w:t xml:space="preserve">. </w:t>
      </w:r>
    </w:p>
    <w:p w:rsidR="00A044D7" w:rsidRPr="000750E4" w:rsidRDefault="00A044D7" w:rsidP="0050438F">
      <w:pPr>
        <w:pStyle w:val="Default"/>
        <w:jc w:val="both"/>
        <w:rPr>
          <w:iCs/>
          <w:sz w:val="22"/>
          <w:szCs w:val="22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Prehľad o stave a vývoji dlhu </w:t>
      </w:r>
    </w:p>
    <w:p w:rsidR="00071DD8" w:rsidRDefault="00071DD8" w:rsidP="0050438F">
      <w:pPr>
        <w:pStyle w:val="Default"/>
        <w:jc w:val="both"/>
        <w:rPr>
          <w:iCs/>
          <w:sz w:val="26"/>
          <w:szCs w:val="26"/>
        </w:rPr>
      </w:pPr>
    </w:p>
    <w:p w:rsidR="00071DD8" w:rsidRPr="000750E4" w:rsidRDefault="00071DD8" w:rsidP="0050438F">
      <w:pPr>
        <w:pStyle w:val="Default"/>
        <w:jc w:val="both"/>
        <w:rPr>
          <w:b/>
          <w:iCs/>
          <w:smallCaps/>
          <w:sz w:val="22"/>
          <w:szCs w:val="22"/>
        </w:rPr>
      </w:pPr>
      <w:r>
        <w:rPr>
          <w:iCs/>
          <w:sz w:val="26"/>
          <w:szCs w:val="26"/>
        </w:rPr>
        <w:tab/>
      </w:r>
      <w:r w:rsidRPr="000750E4">
        <w:rPr>
          <w:iCs/>
          <w:sz w:val="22"/>
          <w:szCs w:val="22"/>
        </w:rPr>
        <w:t>Pravidlá používania návratných zdrojov financovania sú upravené v </w:t>
      </w:r>
      <w:proofErr w:type="spellStart"/>
      <w:r w:rsidRPr="000750E4">
        <w:rPr>
          <w:iCs/>
          <w:sz w:val="22"/>
          <w:szCs w:val="22"/>
        </w:rPr>
        <w:t>ust</w:t>
      </w:r>
      <w:proofErr w:type="spellEnd"/>
      <w:r w:rsidRPr="000750E4">
        <w:rPr>
          <w:iCs/>
          <w:sz w:val="22"/>
          <w:szCs w:val="22"/>
        </w:rPr>
        <w:t>. §17 zákona č. 583/2004 Z.z.</w:t>
      </w:r>
      <w:r w:rsidR="00A95E77" w:rsidRPr="000750E4">
        <w:rPr>
          <w:iCs/>
          <w:sz w:val="22"/>
          <w:szCs w:val="22"/>
        </w:rPr>
        <w:t xml:space="preserve">, ktoré môže použiť len na úhradu kapitálových výdavkov. </w:t>
      </w:r>
    </w:p>
    <w:p w:rsidR="00580BAA" w:rsidRPr="00E07C67" w:rsidRDefault="00580BAA" w:rsidP="00580BAA">
      <w:pPr>
        <w:pStyle w:val="Default"/>
        <w:ind w:firstLine="708"/>
        <w:jc w:val="both"/>
        <w:rPr>
          <w:iCs/>
          <w:sz w:val="22"/>
          <w:szCs w:val="22"/>
        </w:rPr>
      </w:pPr>
      <w:r w:rsidRPr="000750E4">
        <w:rPr>
          <w:iCs/>
          <w:sz w:val="22"/>
          <w:szCs w:val="22"/>
        </w:rPr>
        <w:t xml:space="preserve">Prehľad o stave a vývoji </w:t>
      </w:r>
      <w:r w:rsidR="00A95E77" w:rsidRPr="000750E4">
        <w:rPr>
          <w:iCs/>
          <w:sz w:val="22"/>
          <w:szCs w:val="22"/>
        </w:rPr>
        <w:t xml:space="preserve">návratných zdrojov financovania - </w:t>
      </w:r>
      <w:r w:rsidRPr="000750E4">
        <w:rPr>
          <w:iCs/>
          <w:sz w:val="22"/>
          <w:szCs w:val="22"/>
        </w:rPr>
        <w:t>dlhovej služby v jednotlivých rokoch:</w:t>
      </w:r>
      <w:r w:rsidR="00E07C67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343C03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E07C67">
        <w:rPr>
          <w:iCs/>
          <w:sz w:val="22"/>
          <w:szCs w:val="22"/>
        </w:rPr>
        <w:tab/>
      </w:r>
      <w:r w:rsidR="00343C03">
        <w:rPr>
          <w:iCs/>
          <w:sz w:val="22"/>
          <w:szCs w:val="22"/>
        </w:rPr>
        <w:tab/>
      </w:r>
      <w:r w:rsidR="00343C03">
        <w:rPr>
          <w:iCs/>
          <w:sz w:val="22"/>
          <w:szCs w:val="22"/>
        </w:rPr>
        <w:tab/>
      </w:r>
      <w:r w:rsidR="00343C03">
        <w:rPr>
          <w:iCs/>
          <w:sz w:val="18"/>
          <w:szCs w:val="18"/>
        </w:rPr>
        <w:t xml:space="preserve">v Eur </w:t>
      </w:r>
      <w:r w:rsidR="00D208C8" w:rsidRPr="00DD26F9">
        <w:rPr>
          <w:iCs/>
          <w:sz w:val="18"/>
          <w:szCs w:val="18"/>
        </w:rPr>
        <w:tab/>
      </w:r>
      <w:r w:rsidR="00D61EFD" w:rsidRPr="00DD26F9">
        <w:rPr>
          <w:iCs/>
          <w:sz w:val="18"/>
          <w:szCs w:val="18"/>
        </w:rPr>
        <w:t>t</w:t>
      </w:r>
      <w:r w:rsidR="00154AEA" w:rsidRPr="00DD26F9">
        <w:rPr>
          <w:iCs/>
          <w:sz w:val="18"/>
          <w:szCs w:val="18"/>
        </w:rPr>
        <w:t>ab.</w:t>
      </w:r>
      <w:r w:rsidR="00DD26F9">
        <w:rPr>
          <w:iCs/>
          <w:sz w:val="18"/>
          <w:szCs w:val="18"/>
        </w:rPr>
        <w:t xml:space="preserve"> </w:t>
      </w:r>
      <w:r w:rsidR="00154AEA" w:rsidRPr="00DD26F9">
        <w:rPr>
          <w:iCs/>
          <w:sz w:val="18"/>
          <w:szCs w:val="18"/>
        </w:rPr>
        <w:t>č. 1</w:t>
      </w:r>
      <w:r w:rsidR="005D7F0B" w:rsidRPr="00DD26F9">
        <w:rPr>
          <w:iCs/>
          <w:sz w:val="18"/>
          <w:szCs w:val="18"/>
        </w:rPr>
        <w:t>2</w:t>
      </w:r>
    </w:p>
    <w:tbl>
      <w:tblPr>
        <w:tblStyle w:val="Obyajntabuka1"/>
        <w:tblW w:w="9024" w:type="dxa"/>
        <w:tblLook w:val="04A0" w:firstRow="1" w:lastRow="0" w:firstColumn="1" w:lastColumn="0" w:noHBand="0" w:noVBand="1"/>
      </w:tblPr>
      <w:tblGrid>
        <w:gridCol w:w="1413"/>
        <w:gridCol w:w="807"/>
        <w:gridCol w:w="850"/>
        <w:gridCol w:w="950"/>
        <w:gridCol w:w="751"/>
        <w:gridCol w:w="851"/>
        <w:gridCol w:w="850"/>
        <w:gridCol w:w="851"/>
        <w:gridCol w:w="850"/>
        <w:gridCol w:w="851"/>
      </w:tblGrid>
      <w:tr w:rsidR="00E27E3E" w:rsidRPr="00580BAA" w:rsidTr="00E27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:rsidR="00E27E3E" w:rsidRPr="00681E94" w:rsidRDefault="00E27E3E" w:rsidP="00E27E3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Ročná výška splátok  / rok </w:t>
            </w:r>
          </w:p>
        </w:tc>
        <w:tc>
          <w:tcPr>
            <w:tcW w:w="807" w:type="dxa"/>
            <w:noWrap/>
            <w:vAlign w:val="bottom"/>
            <w:hideMark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850" w:type="dxa"/>
            <w:noWrap/>
            <w:vAlign w:val="bottom"/>
            <w:hideMark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50" w:type="dxa"/>
            <w:noWrap/>
            <w:vAlign w:val="bottom"/>
            <w:hideMark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751" w:type="dxa"/>
            <w:noWrap/>
            <w:vAlign w:val="bottom"/>
            <w:hideMark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2019</w:t>
            </w:r>
          </w:p>
        </w:tc>
      </w:tr>
      <w:tr w:rsidR="00E27E3E" w:rsidRPr="00580BAA" w:rsidTr="00E27E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:rsidR="00E27E3E" w:rsidRPr="00681E94" w:rsidRDefault="00E27E3E" w:rsidP="00E27E3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istina </w:t>
            </w:r>
          </w:p>
        </w:tc>
        <w:tc>
          <w:tcPr>
            <w:tcW w:w="807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694 612</w:t>
            </w:r>
          </w:p>
        </w:tc>
        <w:tc>
          <w:tcPr>
            <w:tcW w:w="8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278 517</w:t>
            </w:r>
          </w:p>
        </w:tc>
        <w:tc>
          <w:tcPr>
            <w:tcW w:w="9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1 375 713</w:t>
            </w:r>
          </w:p>
        </w:tc>
        <w:tc>
          <w:tcPr>
            <w:tcW w:w="751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201 921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241 510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742 317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382 318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390 805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388 726</w:t>
            </w:r>
          </w:p>
        </w:tc>
      </w:tr>
      <w:tr w:rsidR="00E27E3E" w:rsidRPr="00580BAA" w:rsidTr="00E27E3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:rsidR="00E27E3E" w:rsidRPr="00681E94" w:rsidRDefault="00E27E3E" w:rsidP="00E27E3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úroky </w:t>
            </w:r>
          </w:p>
        </w:tc>
        <w:tc>
          <w:tcPr>
            <w:tcW w:w="807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52 811</w:t>
            </w:r>
          </w:p>
        </w:tc>
        <w:tc>
          <w:tcPr>
            <w:tcW w:w="8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62 357</w:t>
            </w:r>
          </w:p>
        </w:tc>
        <w:tc>
          <w:tcPr>
            <w:tcW w:w="9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42 083</w:t>
            </w:r>
          </w:p>
        </w:tc>
        <w:tc>
          <w:tcPr>
            <w:tcW w:w="751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40 193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40 940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47 102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40 229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37 727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35 965</w:t>
            </w:r>
          </w:p>
        </w:tc>
      </w:tr>
      <w:tr w:rsidR="00E27E3E" w:rsidRPr="00580BAA" w:rsidTr="00E27E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:rsidR="00E27E3E" w:rsidRPr="00681E94" w:rsidRDefault="00E27E3E" w:rsidP="00E27E3E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681E9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SPOLU :  </w:t>
            </w:r>
          </w:p>
        </w:tc>
        <w:tc>
          <w:tcPr>
            <w:tcW w:w="807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747 423</w:t>
            </w:r>
          </w:p>
        </w:tc>
        <w:tc>
          <w:tcPr>
            <w:tcW w:w="8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340 874</w:t>
            </w:r>
          </w:p>
        </w:tc>
        <w:tc>
          <w:tcPr>
            <w:tcW w:w="950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1 417 796</w:t>
            </w:r>
          </w:p>
        </w:tc>
        <w:tc>
          <w:tcPr>
            <w:tcW w:w="751" w:type="dxa"/>
            <w:noWrap/>
            <w:vAlign w:val="bottom"/>
            <w:hideMark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242 114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282 450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789 419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422 547</w:t>
            </w:r>
          </w:p>
        </w:tc>
        <w:tc>
          <w:tcPr>
            <w:tcW w:w="850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428 532</w:t>
            </w:r>
          </w:p>
        </w:tc>
        <w:tc>
          <w:tcPr>
            <w:tcW w:w="851" w:type="dxa"/>
            <w:vAlign w:val="bottom"/>
          </w:tcPr>
          <w:p w:rsidR="00E27E3E" w:rsidRPr="00E27E3E" w:rsidRDefault="00E27E3E" w:rsidP="00E27E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27E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424 691</w:t>
            </w:r>
          </w:p>
        </w:tc>
      </w:tr>
    </w:tbl>
    <w:p w:rsidR="00580BAA" w:rsidRPr="005D5988" w:rsidRDefault="00580BAA" w:rsidP="005D5988">
      <w:pPr>
        <w:pStyle w:val="Default"/>
        <w:ind w:firstLine="708"/>
        <w:jc w:val="both"/>
        <w:rPr>
          <w:iCs/>
          <w:sz w:val="23"/>
          <w:szCs w:val="23"/>
        </w:rPr>
      </w:pPr>
    </w:p>
    <w:p w:rsidR="005D5988" w:rsidRPr="000750E4" w:rsidRDefault="00580BAA" w:rsidP="00774763">
      <w:pPr>
        <w:spacing w:after="0" w:line="240" w:lineRule="auto"/>
        <w:ind w:firstLine="737"/>
        <w:jc w:val="both"/>
        <w:rPr>
          <w:rFonts w:ascii="Times New Roman" w:hAnsi="Times New Roman" w:cs="Times New Roman"/>
          <w:iCs/>
        </w:rPr>
      </w:pPr>
      <w:r w:rsidRPr="000E120E">
        <w:rPr>
          <w:rFonts w:ascii="Times New Roman" w:hAnsi="Times New Roman" w:cs="Times New Roman"/>
          <w:iCs/>
        </w:rPr>
        <w:t xml:space="preserve">Mesto </w:t>
      </w:r>
      <w:r w:rsidR="00086E58" w:rsidRPr="00075680">
        <w:rPr>
          <w:rFonts w:ascii="Times New Roman" w:hAnsi="Times New Roman" w:cs="Times New Roman"/>
          <w:b/>
          <w:iCs/>
        </w:rPr>
        <w:t>v roku 2013</w:t>
      </w:r>
      <w:r w:rsidR="00086E58" w:rsidRPr="000750E4">
        <w:rPr>
          <w:rFonts w:ascii="Times New Roman" w:hAnsi="Times New Roman" w:cs="Times New Roman"/>
          <w:iCs/>
        </w:rPr>
        <w:t xml:space="preserve"> reštrukturalizovalo úverové zaťaženie mesta, prostredníctvom vyplatenia dvoch dlhodobých kapitálových úverov a jedného krátkodobého kapitálového úveru, čím sa zlepšila východisková situácia pre ďalšie rozpočtované obdobie mesta v oblasti finančných operácií a v oblasti hodnotenia celkovej zadlženosti mesta. </w:t>
      </w:r>
      <w:r w:rsidR="00154AEA" w:rsidRPr="000750E4">
        <w:rPr>
          <w:rFonts w:ascii="Times New Roman" w:hAnsi="Times New Roman" w:cs="Times New Roman"/>
          <w:iCs/>
        </w:rPr>
        <w:t xml:space="preserve">Predčasné splatenie úverov malo vplyv aj na výšku platenej úrokovej miery. </w:t>
      </w:r>
    </w:p>
    <w:p w:rsidR="005D5988" w:rsidRDefault="00A158C3" w:rsidP="0077476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D5988" w:rsidRPr="000750E4">
        <w:rPr>
          <w:rFonts w:ascii="Times New Roman" w:hAnsi="Times New Roman" w:cs="Times New Roman"/>
        </w:rPr>
        <w:t xml:space="preserve">V priebehu </w:t>
      </w:r>
      <w:r w:rsidR="005D5988" w:rsidRPr="00075680">
        <w:rPr>
          <w:rFonts w:ascii="Times New Roman" w:hAnsi="Times New Roman" w:cs="Times New Roman"/>
          <w:b/>
        </w:rPr>
        <w:t>roka 2017</w:t>
      </w:r>
      <w:r w:rsidR="005D5988" w:rsidRPr="000750E4">
        <w:rPr>
          <w:rFonts w:ascii="Times New Roman" w:hAnsi="Times New Roman" w:cs="Times New Roman"/>
        </w:rPr>
        <w:t xml:space="preserve"> došlo k vyrovnaniu medziročných rozdielov v splátkach istín úveru zo ŠFRB  na výstavbu 2x 15 b. j. na sídlisku Východ, rozdielu v splátkach istín úveru na rekonštrukciu kina a rozdielu v objeme vrátených vrátok zábezpek pri verejných obstarávaniach. Medziročný pokles výdavkov v oblasti splácania úrokov z úverov v tuzemsku v sume 6.873,00 € bol spôsobený splácaním úrokov z nižších zostatkov istín kapitálových úverov mesta v príslušnom roku. </w:t>
      </w:r>
    </w:p>
    <w:p w:rsidR="00774763" w:rsidRPr="00774763" w:rsidRDefault="00774763" w:rsidP="00774763">
      <w:pPr>
        <w:spacing w:after="0" w:line="240" w:lineRule="auto"/>
        <w:ind w:firstLine="737"/>
        <w:jc w:val="both"/>
        <w:rPr>
          <w:rFonts w:ascii="Times New Roman" w:hAnsi="Times New Roman" w:cs="Times New Roman"/>
        </w:rPr>
      </w:pPr>
      <w:r w:rsidRPr="00774763">
        <w:rPr>
          <w:rFonts w:ascii="Times New Roman" w:hAnsi="Times New Roman" w:cs="Times New Roman"/>
        </w:rPr>
        <w:t>Medziročný nárast výdavkov v oblasti splácania istín úverov a úrokov z týchto úverov v sume 5.985,00 € sa skladal z medziročného nárastu splátok istín úverov v sume 8.487,00 €. Táto skutočnosť bola spôsobená prvou splátkou dlhodobého kapitálového úveru prijatého v  roku 2017 v sume 7.500,00 €, vyšších splátok istín úverov ŠFRB v sume 1.007,00 € a z dôvodu ukončenia splácania istín  reštrukturalizačného úveru v roku 2018 nižšej celoročnej splátky o 20,00 €. Medziročný pokles výdavkov v oblasti splácania úrokov z úverov v tuzemsku v sume 2.502,00 € bol spôsobený splácaním úrokov z nižších zostatkov istín kapitálových ú</w:t>
      </w:r>
      <w:r>
        <w:rPr>
          <w:rFonts w:ascii="Times New Roman" w:hAnsi="Times New Roman" w:cs="Times New Roman"/>
        </w:rPr>
        <w:t xml:space="preserve">verov mesta v príslušnom roku. </w:t>
      </w:r>
    </w:p>
    <w:p w:rsidR="00A95E77" w:rsidRPr="000750E4" w:rsidRDefault="00A95E77" w:rsidP="00930546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</w:p>
    <w:p w:rsidR="00930546" w:rsidRPr="000750E4" w:rsidRDefault="0025453C" w:rsidP="00086E58">
      <w:pPr>
        <w:pStyle w:val="Default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S účinnosťou od 1. januára 2017 sa zmenili </w:t>
      </w:r>
      <w:r w:rsidRPr="000750E4">
        <w:rPr>
          <w:b/>
          <w:sz w:val="22"/>
          <w:szCs w:val="22"/>
        </w:rPr>
        <w:t xml:space="preserve">podmienky na prijatie </w:t>
      </w:r>
      <w:r w:rsidR="00A95E77" w:rsidRPr="000750E4">
        <w:rPr>
          <w:b/>
          <w:sz w:val="22"/>
          <w:szCs w:val="22"/>
        </w:rPr>
        <w:t>návratných zdrojov financovania</w:t>
      </w:r>
      <w:r w:rsidR="00D208C8" w:rsidRPr="000750E4">
        <w:rPr>
          <w:b/>
          <w:sz w:val="22"/>
          <w:szCs w:val="22"/>
        </w:rPr>
        <w:t xml:space="preserve">, </w:t>
      </w:r>
      <w:r w:rsidR="00A95E77" w:rsidRPr="000750E4">
        <w:rPr>
          <w:sz w:val="22"/>
          <w:szCs w:val="22"/>
        </w:rPr>
        <w:t>upravené v </w:t>
      </w:r>
      <w:proofErr w:type="spellStart"/>
      <w:r w:rsidR="00A95E77" w:rsidRPr="000750E4">
        <w:rPr>
          <w:sz w:val="22"/>
          <w:szCs w:val="22"/>
        </w:rPr>
        <w:t>ust</w:t>
      </w:r>
      <w:proofErr w:type="spellEnd"/>
      <w:r w:rsidR="00A95E77" w:rsidRPr="000750E4">
        <w:rPr>
          <w:sz w:val="22"/>
          <w:szCs w:val="22"/>
        </w:rPr>
        <w:t xml:space="preserve">. § 17 ods. 6 zákona č. 583/2004 Z.z. a podľa citovaného </w:t>
      </w:r>
      <w:proofErr w:type="spellStart"/>
      <w:r w:rsidR="00A95E77" w:rsidRPr="000750E4">
        <w:rPr>
          <w:sz w:val="22"/>
          <w:szCs w:val="22"/>
        </w:rPr>
        <w:t>ust</w:t>
      </w:r>
      <w:proofErr w:type="spellEnd"/>
      <w:r w:rsidR="00A95E77" w:rsidRPr="000750E4">
        <w:rPr>
          <w:sz w:val="22"/>
          <w:szCs w:val="22"/>
        </w:rPr>
        <w:t xml:space="preserve">. mesto môže na plnenie svojich úloh prijať návratné zdroje financovania, len ak </w:t>
      </w:r>
    </w:p>
    <w:p w:rsidR="00A95E77" w:rsidRPr="000750E4" w:rsidRDefault="00A95E77" w:rsidP="00A95E77">
      <w:pPr>
        <w:pStyle w:val="Zkladntext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celková suma dlhu mesta </w:t>
      </w:r>
      <w:r w:rsidRPr="000750E4">
        <w:rPr>
          <w:rFonts w:ascii="Times New Roman" w:hAnsi="Times New Roman" w:cs="Times New Roman"/>
          <w:b/>
          <w:sz w:val="22"/>
          <w:szCs w:val="22"/>
        </w:rPr>
        <w:t>neprekročí 60 %</w:t>
      </w:r>
      <w:r w:rsidRPr="000750E4">
        <w:rPr>
          <w:rFonts w:ascii="Times New Roman" w:hAnsi="Times New Roman" w:cs="Times New Roman"/>
          <w:sz w:val="22"/>
          <w:szCs w:val="22"/>
        </w:rPr>
        <w:t xml:space="preserve"> skutočných bežných príjmov predchádzajúceho rozpočtového roka a </w:t>
      </w:r>
    </w:p>
    <w:p w:rsidR="00872C5C" w:rsidRPr="000750E4" w:rsidRDefault="00A95E77" w:rsidP="00526636">
      <w:pPr>
        <w:pStyle w:val="Zkladntext3"/>
        <w:numPr>
          <w:ilvl w:val="0"/>
          <w:numId w:val="34"/>
        </w:numPr>
        <w:spacing w:after="0" w:line="240" w:lineRule="auto"/>
        <w:ind w:left="714" w:hanging="357"/>
        <w:jc w:val="both"/>
        <w:rPr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suma </w:t>
      </w:r>
      <w:r w:rsidR="00526636" w:rsidRPr="000750E4">
        <w:rPr>
          <w:rFonts w:ascii="Times New Roman" w:hAnsi="Times New Roman" w:cs="Times New Roman"/>
          <w:sz w:val="22"/>
          <w:szCs w:val="22"/>
        </w:rPr>
        <w:t xml:space="preserve">splátok návratných zdrojov financovania vrátane úhrady výnosov a suma splátok záväzkov z investičných dodávateľských úverov </w:t>
      </w:r>
      <w:r w:rsidR="00526636" w:rsidRPr="000750E4">
        <w:rPr>
          <w:rFonts w:ascii="Times New Roman" w:hAnsi="Times New Roman" w:cs="Times New Roman"/>
          <w:b/>
          <w:sz w:val="22"/>
          <w:szCs w:val="22"/>
        </w:rPr>
        <w:t>neprekročí</w:t>
      </w:r>
      <w:r w:rsidR="00526636" w:rsidRPr="000750E4">
        <w:rPr>
          <w:rFonts w:ascii="Times New Roman" w:hAnsi="Times New Roman" w:cs="Times New Roman"/>
          <w:sz w:val="22"/>
          <w:szCs w:val="22"/>
        </w:rPr>
        <w:t xml:space="preserve"> v príslušnom rozpočtovom roku </w:t>
      </w:r>
      <w:r w:rsidR="00526636" w:rsidRPr="000750E4">
        <w:rPr>
          <w:rFonts w:ascii="Times New Roman" w:hAnsi="Times New Roman" w:cs="Times New Roman"/>
          <w:b/>
          <w:sz w:val="22"/>
          <w:szCs w:val="22"/>
        </w:rPr>
        <w:lastRenderedPageBreak/>
        <w:t>25% skutočných bežných príjmov</w:t>
      </w:r>
      <w:r w:rsidR="00526636" w:rsidRPr="000750E4">
        <w:rPr>
          <w:rFonts w:ascii="Times New Roman" w:hAnsi="Times New Roman" w:cs="Times New Roman"/>
          <w:sz w:val="22"/>
          <w:szCs w:val="22"/>
        </w:rPr>
        <w:t xml:space="preserve"> predchádzajúceho rozpočtového roka znížených o prostriedky poskytnuté v príslušnom rozpočtovom roku mestu z rozpočtu iného subjektu verejnej správy, prostriedky poskytnuté z Európskej únie a iné prostriedky zo zahraničia alebo prostriedky získané </w:t>
      </w:r>
      <w:r w:rsidR="00925D91" w:rsidRPr="000750E4">
        <w:rPr>
          <w:rFonts w:ascii="Times New Roman" w:hAnsi="Times New Roman" w:cs="Times New Roman"/>
          <w:sz w:val="22"/>
          <w:szCs w:val="22"/>
        </w:rPr>
        <w:t xml:space="preserve">na základe osobitného predpisu, </w:t>
      </w:r>
    </w:p>
    <w:p w:rsidR="00A95E77" w:rsidRPr="000750E4" w:rsidRDefault="00A95E77" w:rsidP="00A95E77">
      <w:pPr>
        <w:pStyle w:val="Zkladntext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pričom platí, že obe podmienky musia byť splnené súčasne. </w:t>
      </w:r>
    </w:p>
    <w:p w:rsidR="00A95E77" w:rsidRPr="000750E4" w:rsidRDefault="00A95E77" w:rsidP="00A95E77">
      <w:pPr>
        <w:pStyle w:val="Zkladntext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A95E77" w:rsidRPr="000750E4" w:rsidRDefault="00A95E77" w:rsidP="00A95E77">
      <w:pPr>
        <w:pStyle w:val="Zkladntext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Podľa </w:t>
      </w:r>
      <w:proofErr w:type="spellStart"/>
      <w:r w:rsidRPr="000750E4">
        <w:rPr>
          <w:rFonts w:ascii="Times New Roman" w:hAnsi="Times New Roman" w:cs="Times New Roman"/>
          <w:sz w:val="22"/>
          <w:szCs w:val="22"/>
        </w:rPr>
        <w:t>ust</w:t>
      </w:r>
      <w:proofErr w:type="spellEnd"/>
      <w:r w:rsidRPr="000750E4">
        <w:rPr>
          <w:rFonts w:ascii="Times New Roman" w:hAnsi="Times New Roman" w:cs="Times New Roman"/>
          <w:sz w:val="22"/>
          <w:szCs w:val="22"/>
        </w:rPr>
        <w:t xml:space="preserve">. §17 ods. 7 a 8 zákona č. 583/2004 Z.z. celkovú sumu dlhu </w:t>
      </w:r>
      <w:r w:rsidR="00A158C3">
        <w:rPr>
          <w:rFonts w:ascii="Times New Roman" w:hAnsi="Times New Roman" w:cs="Times New Roman"/>
          <w:sz w:val="22"/>
          <w:szCs w:val="22"/>
        </w:rPr>
        <w:t>mesta</w:t>
      </w:r>
      <w:r w:rsidRPr="000750E4">
        <w:rPr>
          <w:rFonts w:ascii="Times New Roman" w:hAnsi="Times New Roman" w:cs="Times New Roman"/>
          <w:sz w:val="22"/>
          <w:szCs w:val="22"/>
        </w:rPr>
        <w:t xml:space="preserve"> tvorí: </w:t>
      </w:r>
    </w:p>
    <w:p w:rsidR="00E95FAF" w:rsidRDefault="00A95E77" w:rsidP="00344B65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95FAF">
        <w:rPr>
          <w:rFonts w:ascii="Times New Roman" w:hAnsi="Times New Roman" w:cs="Times New Roman"/>
          <w:sz w:val="22"/>
          <w:szCs w:val="22"/>
        </w:rPr>
        <w:t>súhrn záväzkov vyplývajúcich zo splácania istín návratných zdrojov financovania</w:t>
      </w:r>
      <w:r w:rsidR="00925D91" w:rsidRPr="00E95FAF">
        <w:rPr>
          <w:rFonts w:ascii="Times New Roman" w:hAnsi="Times New Roman" w:cs="Times New Roman"/>
          <w:sz w:val="22"/>
          <w:szCs w:val="22"/>
        </w:rPr>
        <w:t xml:space="preserve"> vo výške</w:t>
      </w:r>
      <w:r w:rsidR="003D68E6" w:rsidRPr="00E95FAF">
        <w:rPr>
          <w:rFonts w:ascii="Times New Roman" w:hAnsi="Times New Roman" w:cs="Times New Roman"/>
          <w:sz w:val="22"/>
          <w:szCs w:val="22"/>
        </w:rPr>
        <w:t xml:space="preserve"> </w:t>
      </w:r>
      <w:r w:rsidR="00996166">
        <w:rPr>
          <w:rFonts w:ascii="Times New Roman" w:hAnsi="Times New Roman" w:cs="Times New Roman"/>
          <w:sz w:val="22"/>
          <w:szCs w:val="22"/>
        </w:rPr>
        <w:t>2.205.685</w:t>
      </w:r>
      <w:r w:rsidR="003C42C5" w:rsidRPr="00E95FAF">
        <w:rPr>
          <w:rFonts w:ascii="Times New Roman" w:hAnsi="Times New Roman" w:cs="Times New Roman"/>
          <w:sz w:val="22"/>
          <w:szCs w:val="22"/>
        </w:rPr>
        <w:t>€</w:t>
      </w:r>
      <w:r w:rsidR="00E95FAF">
        <w:rPr>
          <w:rFonts w:ascii="Times New Roman" w:hAnsi="Times New Roman" w:cs="Times New Roman"/>
          <w:sz w:val="22"/>
          <w:szCs w:val="22"/>
        </w:rPr>
        <w:t xml:space="preserve"> (bez úverov ŠFRB), </w:t>
      </w:r>
      <w:r w:rsidR="003C42C5" w:rsidRPr="00E95FA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95E77" w:rsidRDefault="00A95E77" w:rsidP="00344B65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95FAF">
        <w:rPr>
          <w:rFonts w:ascii="Times New Roman" w:hAnsi="Times New Roman" w:cs="Times New Roman"/>
          <w:sz w:val="22"/>
          <w:szCs w:val="22"/>
        </w:rPr>
        <w:t xml:space="preserve">súhrn záväzkov z investičných dodávateľských úverov a ručiteľských záväzkov </w:t>
      </w:r>
      <w:r w:rsidR="003D68E6" w:rsidRPr="00E95FAF">
        <w:rPr>
          <w:rFonts w:ascii="Times New Roman" w:hAnsi="Times New Roman" w:cs="Times New Roman"/>
          <w:sz w:val="22"/>
          <w:szCs w:val="22"/>
        </w:rPr>
        <w:t xml:space="preserve">mesta </w:t>
      </w:r>
      <w:r w:rsidR="00925D91" w:rsidRPr="00E95FAF">
        <w:rPr>
          <w:rFonts w:ascii="Times New Roman" w:hAnsi="Times New Roman" w:cs="Times New Roman"/>
          <w:sz w:val="22"/>
          <w:szCs w:val="22"/>
        </w:rPr>
        <w:t>vo výške</w:t>
      </w:r>
      <w:r w:rsidR="00E95FAF">
        <w:rPr>
          <w:rFonts w:ascii="Times New Roman" w:hAnsi="Times New Roman" w:cs="Times New Roman"/>
          <w:sz w:val="22"/>
          <w:szCs w:val="22"/>
        </w:rPr>
        <w:t xml:space="preserve"> </w:t>
      </w:r>
      <w:r w:rsidR="00996166">
        <w:rPr>
          <w:rFonts w:ascii="Times New Roman" w:hAnsi="Times New Roman" w:cs="Times New Roman"/>
          <w:sz w:val="22"/>
          <w:szCs w:val="22"/>
        </w:rPr>
        <w:t xml:space="preserve">81.858€ </w:t>
      </w:r>
      <w:r w:rsidR="00E95FAF">
        <w:rPr>
          <w:rFonts w:ascii="Times New Roman" w:hAnsi="Times New Roman" w:cs="Times New Roman"/>
          <w:sz w:val="22"/>
          <w:szCs w:val="22"/>
        </w:rPr>
        <w:t>€</w:t>
      </w:r>
      <w:r w:rsidR="003D68E6" w:rsidRPr="00E95FA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43B43" w:rsidRPr="000750E4" w:rsidRDefault="00D43B43" w:rsidP="00E95FAF">
      <w:pPr>
        <w:pStyle w:val="Zkladntext3"/>
        <w:spacing w:after="0" w:line="240" w:lineRule="auto"/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:rsidR="00A95E77" w:rsidRPr="000750E4" w:rsidRDefault="00C04AF7" w:rsidP="00D208C8">
      <w:pPr>
        <w:pStyle w:val="Zkladntext3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50E4">
        <w:rPr>
          <w:rFonts w:ascii="Times New Roman" w:hAnsi="Times New Roman" w:cs="Times New Roman"/>
          <w:b/>
          <w:sz w:val="22"/>
          <w:szCs w:val="22"/>
        </w:rPr>
        <w:t xml:space="preserve">Celková suma dlhu </w:t>
      </w:r>
      <w:r w:rsidR="00E95FAF">
        <w:rPr>
          <w:rFonts w:ascii="Times New Roman" w:hAnsi="Times New Roman" w:cs="Times New Roman"/>
          <w:b/>
          <w:sz w:val="22"/>
          <w:szCs w:val="22"/>
        </w:rPr>
        <w:t xml:space="preserve">mesta </w:t>
      </w:r>
      <w:r w:rsidR="00D208C8" w:rsidRPr="000750E4">
        <w:rPr>
          <w:rFonts w:ascii="Times New Roman" w:hAnsi="Times New Roman" w:cs="Times New Roman"/>
          <w:b/>
          <w:sz w:val="22"/>
          <w:szCs w:val="22"/>
        </w:rPr>
        <w:t>predstavuje výšku</w:t>
      </w:r>
      <w:r w:rsidR="00E95FA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6166">
        <w:rPr>
          <w:rFonts w:ascii="Times New Roman" w:hAnsi="Times New Roman" w:cs="Times New Roman"/>
          <w:b/>
          <w:sz w:val="22"/>
          <w:szCs w:val="22"/>
        </w:rPr>
        <w:t>2.287.543</w:t>
      </w:r>
      <w:r w:rsidR="00E95FAF">
        <w:rPr>
          <w:rFonts w:ascii="Times New Roman" w:hAnsi="Times New Roman" w:cs="Times New Roman"/>
          <w:b/>
          <w:sz w:val="22"/>
          <w:szCs w:val="22"/>
        </w:rPr>
        <w:t>€</w:t>
      </w:r>
      <w:r w:rsidR="003D68E6" w:rsidRPr="000750E4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:rsidR="00C04AF7" w:rsidRPr="000750E4" w:rsidRDefault="00C04AF7" w:rsidP="00A95E77">
      <w:pPr>
        <w:pStyle w:val="Zkladntext3"/>
        <w:spacing w:after="0" w:line="240" w:lineRule="auto"/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:rsidR="00A95E77" w:rsidRPr="000750E4" w:rsidRDefault="00D208C8" w:rsidP="00A95E77">
      <w:pPr>
        <w:pStyle w:val="Zkladntext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ab/>
      </w:r>
      <w:r w:rsidR="00A95E77" w:rsidRPr="000750E4">
        <w:rPr>
          <w:rFonts w:ascii="Times New Roman" w:hAnsi="Times New Roman" w:cs="Times New Roman"/>
          <w:sz w:val="22"/>
          <w:szCs w:val="22"/>
        </w:rPr>
        <w:t>Pri investičných dodávateľských úveroch ide o záväzky, do ktorých mesto vstupuje v rámci zmluvne uzavretých obchodných vzťahov</w:t>
      </w:r>
      <w:r w:rsidR="003D68E6" w:rsidRPr="000750E4">
        <w:rPr>
          <w:rFonts w:ascii="Times New Roman" w:hAnsi="Times New Roman" w:cs="Times New Roman"/>
          <w:sz w:val="22"/>
          <w:szCs w:val="22"/>
        </w:rPr>
        <w:t xml:space="preserve"> </w:t>
      </w:r>
      <w:r w:rsidR="00A95E77" w:rsidRPr="000750E4">
        <w:rPr>
          <w:rFonts w:ascii="Times New Roman" w:hAnsi="Times New Roman" w:cs="Times New Roman"/>
          <w:sz w:val="22"/>
          <w:szCs w:val="22"/>
        </w:rPr>
        <w:t>s dodávateľ</w:t>
      </w:r>
      <w:r w:rsidR="003D68E6" w:rsidRPr="000750E4">
        <w:rPr>
          <w:rFonts w:ascii="Times New Roman" w:hAnsi="Times New Roman" w:cs="Times New Roman"/>
          <w:sz w:val="22"/>
          <w:szCs w:val="22"/>
        </w:rPr>
        <w:t>om</w:t>
      </w:r>
      <w:r w:rsidR="00A95E77" w:rsidRPr="000750E4">
        <w:rPr>
          <w:rFonts w:ascii="Times New Roman" w:hAnsi="Times New Roman" w:cs="Times New Roman"/>
          <w:sz w:val="22"/>
          <w:szCs w:val="22"/>
        </w:rPr>
        <w:t xml:space="preserve"> tovarov, služieb a pod. Investičnými dodávateľskými úvermi sa rozumejú všetky záväzky </w:t>
      </w:r>
      <w:r w:rsidR="003D68E6" w:rsidRPr="000750E4">
        <w:rPr>
          <w:rFonts w:ascii="Times New Roman" w:hAnsi="Times New Roman" w:cs="Times New Roman"/>
          <w:sz w:val="22"/>
          <w:szCs w:val="22"/>
        </w:rPr>
        <w:t>mesta</w:t>
      </w:r>
      <w:r w:rsidR="00A95E77" w:rsidRPr="000750E4">
        <w:rPr>
          <w:rFonts w:ascii="Times New Roman" w:hAnsi="Times New Roman" w:cs="Times New Roman"/>
          <w:sz w:val="22"/>
          <w:szCs w:val="22"/>
        </w:rPr>
        <w:t xml:space="preserve"> z prevzatia povinností splácať úver dodávateľa po dodaní investičného diela na základe zmluvy medzi </w:t>
      </w:r>
      <w:r w:rsidR="00C04AF7" w:rsidRPr="000750E4">
        <w:rPr>
          <w:rFonts w:ascii="Times New Roman" w:hAnsi="Times New Roman" w:cs="Times New Roman"/>
          <w:sz w:val="22"/>
          <w:szCs w:val="22"/>
        </w:rPr>
        <w:t>mestom</w:t>
      </w:r>
      <w:r w:rsidR="00A95E77" w:rsidRPr="000750E4">
        <w:rPr>
          <w:rFonts w:ascii="Times New Roman" w:hAnsi="Times New Roman" w:cs="Times New Roman"/>
          <w:sz w:val="22"/>
          <w:szCs w:val="22"/>
        </w:rPr>
        <w:t xml:space="preserve"> a dodávateľom. </w:t>
      </w:r>
    </w:p>
    <w:p w:rsidR="00A95E77" w:rsidRPr="000750E4" w:rsidRDefault="00A95E77" w:rsidP="00A95E77">
      <w:pPr>
        <w:pStyle w:val="Zkladntext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Do celkovej sumy dlhu </w:t>
      </w:r>
      <w:r w:rsidR="00C04AF7" w:rsidRPr="000750E4">
        <w:rPr>
          <w:rFonts w:ascii="Times New Roman" w:hAnsi="Times New Roman" w:cs="Times New Roman"/>
          <w:sz w:val="22"/>
          <w:szCs w:val="22"/>
        </w:rPr>
        <w:t>mesta</w:t>
      </w:r>
      <w:r w:rsidRPr="000750E4">
        <w:rPr>
          <w:rFonts w:ascii="Times New Roman" w:hAnsi="Times New Roman" w:cs="Times New Roman"/>
          <w:sz w:val="22"/>
          <w:szCs w:val="22"/>
        </w:rPr>
        <w:t xml:space="preserve"> sa nezapočítavajú záväzky z</w:t>
      </w:r>
      <w:r w:rsidR="00925D91" w:rsidRPr="000750E4">
        <w:rPr>
          <w:rFonts w:ascii="Times New Roman" w:hAnsi="Times New Roman" w:cs="Times New Roman"/>
          <w:sz w:val="22"/>
          <w:szCs w:val="22"/>
        </w:rPr>
        <w:t>:</w:t>
      </w:r>
      <w:r w:rsidRPr="000750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95E77" w:rsidRPr="000750E4" w:rsidRDefault="00A95E77" w:rsidP="00A95E77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pôžičky poskytnutej z Audiovizuálneho fondu, </w:t>
      </w:r>
    </w:p>
    <w:p w:rsidR="00A95E77" w:rsidRPr="000750E4" w:rsidRDefault="00526636" w:rsidP="00A95E77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úveru poskytnutého zo ŠFRB na výstavbu obecných nájomných bytov vo výške splátok úveru, ktorých úhrada je zahrnutá v cene ročného nájomného za obecné nájomné byty, </w:t>
      </w:r>
    </w:p>
    <w:p w:rsidR="00526636" w:rsidRPr="000750E4" w:rsidRDefault="00526636" w:rsidP="00A95E77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úveru poskytnutého z Environmentálneho fondu, </w:t>
      </w:r>
    </w:p>
    <w:p w:rsidR="00526636" w:rsidRPr="000750E4" w:rsidRDefault="00526636" w:rsidP="00A95E77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pôžičky poskytnutej z Fondu na podporu umenia, </w:t>
      </w:r>
    </w:p>
    <w:p w:rsidR="00526636" w:rsidRPr="00E95FAF" w:rsidRDefault="00526636" w:rsidP="00526636">
      <w:pPr>
        <w:pStyle w:val="Zkladntext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50E4">
        <w:rPr>
          <w:rFonts w:ascii="Times New Roman" w:hAnsi="Times New Roman" w:cs="Times New Roman"/>
          <w:sz w:val="22"/>
          <w:szCs w:val="22"/>
        </w:rPr>
        <w:t xml:space="preserve">návratných zdrojov financovania prijatých na zabezpečenie </w:t>
      </w:r>
      <w:proofErr w:type="spellStart"/>
      <w:r w:rsidRPr="000750E4">
        <w:rPr>
          <w:rFonts w:ascii="Times New Roman" w:hAnsi="Times New Roman" w:cs="Times New Roman"/>
          <w:sz w:val="22"/>
          <w:szCs w:val="22"/>
        </w:rPr>
        <w:t>predfinancovania</w:t>
      </w:r>
      <w:proofErr w:type="spellEnd"/>
      <w:r w:rsidRPr="000750E4">
        <w:rPr>
          <w:rFonts w:ascii="Times New Roman" w:hAnsi="Times New Roman" w:cs="Times New Roman"/>
          <w:sz w:val="22"/>
          <w:szCs w:val="22"/>
        </w:rPr>
        <w:t xml:space="preserve"> realizácie spoločných programov Slovenskej republiky a Európskej únie, operačných programov spadajúcich do cieľa Európska územná spolupráca a programov financovaných na základe medzinárodných zmlúv o poskytnutí grantu uzatvorených medzi Slovenskou republikou a inými štátmi najviac v sume nenávratného finančného príspevku poskytnutého na základe zmluvy uzatvorenej medzi mestom a orgánom podľa osobitného predpisu; to platí aj, ak mesto vystupuje v pozícií partnera v súlade s osobitným predpisom rovnako, najviac v sume poskytnutého nenávratného finančného príspevku. </w:t>
      </w:r>
    </w:p>
    <w:p w:rsidR="00526636" w:rsidRPr="000750E4" w:rsidRDefault="00526636" w:rsidP="00C04AF7">
      <w:pPr>
        <w:pStyle w:val="Zkladntext3"/>
        <w:spacing w:after="0" w:line="240" w:lineRule="auto"/>
        <w:ind w:left="1068"/>
        <w:jc w:val="both"/>
        <w:rPr>
          <w:rFonts w:ascii="Times New Roman" w:hAnsi="Times New Roman" w:cs="Times New Roman"/>
          <w:sz w:val="22"/>
          <w:szCs w:val="22"/>
        </w:rPr>
      </w:pPr>
    </w:p>
    <w:p w:rsidR="00526636" w:rsidRPr="000750E4" w:rsidRDefault="00526636" w:rsidP="00A044D7">
      <w:pPr>
        <w:pStyle w:val="Zkladntext3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750E4">
        <w:rPr>
          <w:rFonts w:ascii="Times New Roman" w:hAnsi="Times New Roman" w:cs="Times New Roman"/>
          <w:b/>
          <w:sz w:val="22"/>
          <w:szCs w:val="22"/>
        </w:rPr>
        <w:t>D</w:t>
      </w:r>
      <w:r w:rsidR="00C04AF7" w:rsidRPr="000750E4">
        <w:rPr>
          <w:rFonts w:ascii="Times New Roman" w:hAnsi="Times New Roman" w:cs="Times New Roman"/>
          <w:b/>
          <w:sz w:val="22"/>
          <w:szCs w:val="22"/>
        </w:rPr>
        <w:t xml:space="preserve">o celkovej sumy dlhu mesta sa </w:t>
      </w:r>
      <w:proofErr w:type="spellStart"/>
      <w:r w:rsidR="00C04AF7" w:rsidRPr="000750E4">
        <w:rPr>
          <w:rFonts w:ascii="Times New Roman" w:hAnsi="Times New Roman" w:cs="Times New Roman"/>
          <w:b/>
          <w:sz w:val="22"/>
          <w:szCs w:val="22"/>
        </w:rPr>
        <w:t>NE</w:t>
      </w:r>
      <w:r w:rsidRPr="000750E4">
        <w:rPr>
          <w:rFonts w:ascii="Times New Roman" w:hAnsi="Times New Roman" w:cs="Times New Roman"/>
          <w:b/>
          <w:sz w:val="22"/>
          <w:szCs w:val="22"/>
        </w:rPr>
        <w:t>započítavajú</w:t>
      </w:r>
      <w:proofErr w:type="spellEnd"/>
      <w:r w:rsidRPr="000750E4">
        <w:rPr>
          <w:rFonts w:ascii="Times New Roman" w:hAnsi="Times New Roman" w:cs="Times New Roman"/>
          <w:b/>
          <w:sz w:val="22"/>
          <w:szCs w:val="22"/>
        </w:rPr>
        <w:t xml:space="preserve"> záväzky</w:t>
      </w:r>
      <w:r w:rsidR="00C04AF7" w:rsidRPr="000750E4">
        <w:rPr>
          <w:rFonts w:ascii="Times New Roman" w:hAnsi="Times New Roman" w:cs="Times New Roman"/>
          <w:b/>
          <w:sz w:val="22"/>
          <w:szCs w:val="22"/>
        </w:rPr>
        <w:t xml:space="preserve"> z </w:t>
      </w:r>
      <w:r w:rsidRPr="000750E4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dlhodobého záväzku vyplývajúceho z nájmu </w:t>
      </w:r>
      <w:r w:rsidR="00401966" w:rsidRPr="000750E4">
        <w:rPr>
          <w:sz w:val="22"/>
          <w:szCs w:val="22"/>
        </w:rPr>
        <w:t xml:space="preserve">Prešovského samosprávneho kraja - </w:t>
      </w:r>
      <w:r w:rsidRPr="000750E4">
        <w:rPr>
          <w:sz w:val="22"/>
          <w:szCs w:val="22"/>
        </w:rPr>
        <w:t xml:space="preserve">knižnica v sume </w:t>
      </w:r>
      <w:r w:rsidR="0051282C">
        <w:rPr>
          <w:b/>
          <w:sz w:val="22"/>
          <w:szCs w:val="22"/>
        </w:rPr>
        <w:t>9.634,79</w:t>
      </w:r>
      <w:r w:rsidRPr="000750E4">
        <w:rPr>
          <w:b/>
          <w:sz w:val="22"/>
          <w:szCs w:val="22"/>
        </w:rPr>
        <w:t xml:space="preserve"> €</w:t>
      </w:r>
      <w:r w:rsidRPr="000750E4">
        <w:rPr>
          <w:sz w:val="22"/>
          <w:szCs w:val="22"/>
        </w:rPr>
        <w:t xml:space="preserve"> (odpočet kúpnej ceny Provinčného domu z nájmu),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Jozef </w:t>
      </w:r>
      <w:proofErr w:type="spellStart"/>
      <w:r w:rsidRPr="000750E4">
        <w:rPr>
          <w:sz w:val="22"/>
          <w:szCs w:val="22"/>
        </w:rPr>
        <w:t>Krulčík</w:t>
      </w:r>
      <w:proofErr w:type="spellEnd"/>
      <w:r w:rsidRPr="000750E4">
        <w:rPr>
          <w:sz w:val="22"/>
          <w:szCs w:val="22"/>
        </w:rPr>
        <w:t xml:space="preserve"> – </w:t>
      </w:r>
      <w:proofErr w:type="spellStart"/>
      <w:r w:rsidRPr="000750E4">
        <w:rPr>
          <w:sz w:val="22"/>
          <w:szCs w:val="22"/>
        </w:rPr>
        <w:t>Electronic</w:t>
      </w:r>
      <w:proofErr w:type="spellEnd"/>
      <w:r w:rsidRPr="000750E4">
        <w:rPr>
          <w:sz w:val="22"/>
          <w:szCs w:val="22"/>
        </w:rPr>
        <w:t xml:space="preserve"> v sume </w:t>
      </w:r>
      <w:r w:rsidR="009304F0">
        <w:rPr>
          <w:b/>
          <w:sz w:val="22"/>
          <w:szCs w:val="22"/>
        </w:rPr>
        <w:t>7.172,08</w:t>
      </w:r>
      <w:r w:rsidRPr="000750E4">
        <w:rPr>
          <w:b/>
          <w:sz w:val="22"/>
          <w:szCs w:val="22"/>
        </w:rPr>
        <w:t>€</w:t>
      </w:r>
      <w:r w:rsidRPr="000750E4">
        <w:rPr>
          <w:sz w:val="22"/>
          <w:szCs w:val="22"/>
        </w:rPr>
        <w:t xml:space="preserve"> (odpočet z nájmu rekonštrukcia domu na Nám. sv. Mikuláša 5),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 výstavbu 20-tich sociálnych bytov na ul. Levočská (areál </w:t>
      </w:r>
      <w:proofErr w:type="spellStart"/>
      <w:r w:rsidRPr="000750E4">
        <w:rPr>
          <w:sz w:val="22"/>
          <w:szCs w:val="22"/>
        </w:rPr>
        <w:t>Slobytermu</w:t>
      </w:r>
      <w:proofErr w:type="spellEnd"/>
      <w:r w:rsidRPr="000750E4">
        <w:rPr>
          <w:sz w:val="22"/>
          <w:szCs w:val="22"/>
        </w:rPr>
        <w:t xml:space="preserve">) vo výške </w:t>
      </w:r>
      <w:r w:rsidR="009304F0">
        <w:rPr>
          <w:b/>
          <w:sz w:val="22"/>
          <w:szCs w:val="22"/>
        </w:rPr>
        <w:t>144.927,08</w:t>
      </w:r>
      <w:r w:rsidRPr="000750E4">
        <w:rPr>
          <w:b/>
          <w:sz w:val="22"/>
          <w:szCs w:val="22"/>
        </w:rPr>
        <w:t>€</w:t>
      </w:r>
      <w:r w:rsidRPr="000750E4">
        <w:rPr>
          <w:sz w:val="22"/>
          <w:szCs w:val="22"/>
        </w:rPr>
        <w:t>, 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 výstavbu bytov na sídlisku Východ – 16 </w:t>
      </w:r>
      <w:proofErr w:type="spellStart"/>
      <w:r w:rsidRPr="000750E4">
        <w:rPr>
          <w:sz w:val="22"/>
          <w:szCs w:val="22"/>
        </w:rPr>
        <w:t>bj</w:t>
      </w:r>
      <w:proofErr w:type="spellEnd"/>
      <w:r w:rsidRPr="000750E4">
        <w:rPr>
          <w:sz w:val="22"/>
          <w:szCs w:val="22"/>
        </w:rPr>
        <w:t xml:space="preserve">.  v sume </w:t>
      </w:r>
      <w:r w:rsidR="009304F0">
        <w:rPr>
          <w:b/>
          <w:sz w:val="22"/>
          <w:szCs w:val="22"/>
        </w:rPr>
        <w:t>361.461,78</w:t>
      </w:r>
      <w:r w:rsidRPr="000750E4">
        <w:rPr>
          <w:b/>
          <w:sz w:val="22"/>
          <w:szCs w:val="22"/>
        </w:rPr>
        <w:t xml:space="preserve"> €,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 výstavbu bytov na sídlisku Východ – 26 </w:t>
      </w:r>
      <w:proofErr w:type="spellStart"/>
      <w:r w:rsidRPr="000750E4">
        <w:rPr>
          <w:sz w:val="22"/>
          <w:szCs w:val="22"/>
        </w:rPr>
        <w:t>bj</w:t>
      </w:r>
      <w:proofErr w:type="spellEnd"/>
      <w:r w:rsidRPr="000750E4">
        <w:rPr>
          <w:sz w:val="22"/>
          <w:szCs w:val="22"/>
        </w:rPr>
        <w:t xml:space="preserve">.  v sume </w:t>
      </w:r>
      <w:r w:rsidR="009304F0">
        <w:rPr>
          <w:b/>
          <w:sz w:val="22"/>
          <w:szCs w:val="22"/>
        </w:rPr>
        <w:t>450.966,79</w:t>
      </w:r>
      <w:r w:rsidRPr="000750E4">
        <w:rPr>
          <w:b/>
          <w:sz w:val="22"/>
          <w:szCs w:val="22"/>
        </w:rPr>
        <w:t>€,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 výstavbu bytov na sídlisku Východ – 4 </w:t>
      </w:r>
      <w:proofErr w:type="spellStart"/>
      <w:r w:rsidRPr="000750E4">
        <w:rPr>
          <w:sz w:val="22"/>
          <w:szCs w:val="22"/>
        </w:rPr>
        <w:t>bj</w:t>
      </w:r>
      <w:proofErr w:type="spellEnd"/>
      <w:r w:rsidRPr="000750E4">
        <w:rPr>
          <w:sz w:val="22"/>
          <w:szCs w:val="22"/>
        </w:rPr>
        <w:t xml:space="preserve">.  v sume </w:t>
      </w:r>
      <w:r w:rsidR="009304F0">
        <w:rPr>
          <w:b/>
          <w:sz w:val="22"/>
          <w:szCs w:val="22"/>
        </w:rPr>
        <w:t>67.322,11€</w:t>
      </w:r>
      <w:r w:rsidRPr="000750E4">
        <w:rPr>
          <w:b/>
          <w:sz w:val="22"/>
          <w:szCs w:val="22"/>
        </w:rPr>
        <w:t>,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 výstavbu bytov na sídlisku Východ D4 – 16  </w:t>
      </w:r>
      <w:proofErr w:type="spellStart"/>
      <w:r w:rsidRPr="000750E4">
        <w:rPr>
          <w:sz w:val="22"/>
          <w:szCs w:val="22"/>
        </w:rPr>
        <w:t>bj</w:t>
      </w:r>
      <w:proofErr w:type="spellEnd"/>
      <w:r w:rsidRPr="000750E4">
        <w:rPr>
          <w:sz w:val="22"/>
          <w:szCs w:val="22"/>
        </w:rPr>
        <w:t xml:space="preserve">.  v sume </w:t>
      </w:r>
      <w:r w:rsidR="009304F0">
        <w:rPr>
          <w:b/>
          <w:sz w:val="22"/>
          <w:szCs w:val="22"/>
        </w:rPr>
        <w:t>438.951,50</w:t>
      </w:r>
      <w:r w:rsidRPr="000750E4">
        <w:rPr>
          <w:b/>
          <w:sz w:val="22"/>
          <w:szCs w:val="22"/>
        </w:rPr>
        <w:t xml:space="preserve">€ </w:t>
      </w:r>
      <w:r w:rsidRPr="000750E4">
        <w:rPr>
          <w:sz w:val="22"/>
          <w:szCs w:val="22"/>
        </w:rPr>
        <w:t>a</w:t>
      </w:r>
    </w:p>
    <w:p w:rsidR="00C04AF7" w:rsidRPr="000750E4" w:rsidRDefault="00C04AF7" w:rsidP="00C04AF7">
      <w:pPr>
        <w:pStyle w:val="Zkladntext"/>
        <w:numPr>
          <w:ilvl w:val="0"/>
          <w:numId w:val="5"/>
        </w:numPr>
        <w:suppressAutoHyphens/>
        <w:rPr>
          <w:sz w:val="22"/>
          <w:szCs w:val="22"/>
        </w:rPr>
      </w:pPr>
      <w:r w:rsidRPr="000750E4">
        <w:rPr>
          <w:sz w:val="22"/>
          <w:szCs w:val="22"/>
        </w:rPr>
        <w:t xml:space="preserve">úveru zo ŠFRB poskytnutého na výstavbu bytov na sídlisku Východ 2x15  </w:t>
      </w:r>
      <w:proofErr w:type="spellStart"/>
      <w:r w:rsidRPr="000750E4">
        <w:rPr>
          <w:sz w:val="22"/>
          <w:szCs w:val="22"/>
        </w:rPr>
        <w:t>bj</w:t>
      </w:r>
      <w:proofErr w:type="spellEnd"/>
      <w:r w:rsidRPr="000750E4">
        <w:rPr>
          <w:sz w:val="22"/>
          <w:szCs w:val="22"/>
        </w:rPr>
        <w:t xml:space="preserve">.  v sume </w:t>
      </w:r>
      <w:r w:rsidR="009304F0">
        <w:rPr>
          <w:b/>
          <w:sz w:val="22"/>
          <w:szCs w:val="22"/>
        </w:rPr>
        <w:t>600.418,74</w:t>
      </w:r>
      <w:r w:rsidRPr="000750E4">
        <w:rPr>
          <w:b/>
          <w:sz w:val="22"/>
          <w:szCs w:val="22"/>
        </w:rPr>
        <w:t>€</w:t>
      </w:r>
    </w:p>
    <w:p w:rsidR="00401966" w:rsidRPr="00075680" w:rsidRDefault="00F94FB4" w:rsidP="00930546">
      <w:pPr>
        <w:pStyle w:val="Default"/>
        <w:jc w:val="both"/>
        <w:rPr>
          <w:b/>
          <w:sz w:val="22"/>
          <w:szCs w:val="22"/>
        </w:rPr>
      </w:pPr>
      <w:r w:rsidRPr="00075680">
        <w:rPr>
          <w:b/>
          <w:sz w:val="22"/>
          <w:szCs w:val="22"/>
        </w:rPr>
        <w:t>Výška nesplatených úverov zo ŠFRB k 31. 12. 201</w:t>
      </w:r>
      <w:r w:rsidR="003D06E1" w:rsidRPr="00075680">
        <w:rPr>
          <w:b/>
          <w:sz w:val="22"/>
          <w:szCs w:val="22"/>
        </w:rPr>
        <w:t>9</w:t>
      </w:r>
      <w:r w:rsidRPr="00075680">
        <w:rPr>
          <w:b/>
          <w:sz w:val="22"/>
          <w:szCs w:val="22"/>
        </w:rPr>
        <w:t xml:space="preserve"> </w:t>
      </w:r>
      <w:r w:rsidR="00714683" w:rsidRPr="00075680">
        <w:rPr>
          <w:b/>
          <w:sz w:val="22"/>
          <w:szCs w:val="22"/>
        </w:rPr>
        <w:t xml:space="preserve">a dlhodobých záväzkov </w:t>
      </w:r>
      <w:r w:rsidRPr="00075680">
        <w:rPr>
          <w:b/>
          <w:sz w:val="22"/>
          <w:szCs w:val="22"/>
        </w:rPr>
        <w:t xml:space="preserve">predstavuje </w:t>
      </w:r>
      <w:r w:rsidR="00930546" w:rsidRPr="00075680">
        <w:rPr>
          <w:b/>
          <w:sz w:val="22"/>
          <w:szCs w:val="22"/>
        </w:rPr>
        <w:t>hodnotu</w:t>
      </w:r>
      <w:r w:rsidRPr="00075680">
        <w:rPr>
          <w:b/>
          <w:sz w:val="22"/>
          <w:szCs w:val="22"/>
        </w:rPr>
        <w:t xml:space="preserve"> 2.</w:t>
      </w:r>
      <w:r w:rsidR="003D06E1" w:rsidRPr="00075680">
        <w:rPr>
          <w:b/>
          <w:sz w:val="22"/>
          <w:szCs w:val="22"/>
        </w:rPr>
        <w:t>094</w:t>
      </w:r>
      <w:r w:rsidR="00E95FAF" w:rsidRPr="00075680">
        <w:rPr>
          <w:b/>
          <w:sz w:val="22"/>
          <w:szCs w:val="22"/>
        </w:rPr>
        <w:t>.</w:t>
      </w:r>
      <w:r w:rsidR="003D06E1" w:rsidRPr="00075680">
        <w:rPr>
          <w:b/>
          <w:sz w:val="22"/>
          <w:szCs w:val="22"/>
        </w:rPr>
        <w:t>834</w:t>
      </w:r>
      <w:r w:rsidR="00E95FAF" w:rsidRPr="00075680">
        <w:rPr>
          <w:b/>
          <w:sz w:val="22"/>
          <w:szCs w:val="22"/>
        </w:rPr>
        <w:t>,</w:t>
      </w:r>
      <w:r w:rsidR="003D06E1" w:rsidRPr="00075680">
        <w:rPr>
          <w:b/>
          <w:sz w:val="22"/>
          <w:szCs w:val="22"/>
        </w:rPr>
        <w:t>22</w:t>
      </w:r>
      <w:r w:rsidR="00D208C8" w:rsidRPr="00075680">
        <w:rPr>
          <w:b/>
          <w:sz w:val="22"/>
          <w:szCs w:val="22"/>
        </w:rPr>
        <w:t>€</w:t>
      </w:r>
      <w:r w:rsidR="00930546" w:rsidRPr="00075680">
        <w:rPr>
          <w:b/>
          <w:sz w:val="22"/>
          <w:szCs w:val="22"/>
        </w:rPr>
        <w:t xml:space="preserve">. </w:t>
      </w:r>
    </w:p>
    <w:p w:rsidR="00C04AF7" w:rsidRPr="000750E4" w:rsidRDefault="00C04AF7" w:rsidP="00C04AF7">
      <w:pPr>
        <w:pStyle w:val="Default"/>
        <w:ind w:left="1068"/>
        <w:jc w:val="both"/>
        <w:rPr>
          <w:iCs/>
          <w:sz w:val="22"/>
          <w:szCs w:val="22"/>
        </w:rPr>
      </w:pPr>
    </w:p>
    <w:p w:rsidR="000750E4" w:rsidRPr="00031AB3" w:rsidRDefault="00C04AF7" w:rsidP="000750E4">
      <w:pPr>
        <w:pStyle w:val="Default"/>
        <w:jc w:val="both"/>
        <w:rPr>
          <w:sz w:val="22"/>
          <w:szCs w:val="22"/>
        </w:rPr>
      </w:pPr>
      <w:r w:rsidRPr="000750E4">
        <w:rPr>
          <w:iCs/>
          <w:sz w:val="22"/>
          <w:szCs w:val="22"/>
        </w:rPr>
        <w:t xml:space="preserve">Prehľad o stave a vývoji dlhu, splátok, dlhovej službe a ukazovateľoch v zmysle § 17 ods. 6 zákona </w:t>
      </w:r>
      <w:r w:rsidRPr="000750E4">
        <w:rPr>
          <w:sz w:val="22"/>
          <w:szCs w:val="22"/>
        </w:rPr>
        <w:t>č. 583/2004 Z.z. o rozpočtových pravidlách</w:t>
      </w:r>
      <w:r w:rsidR="00031AB3">
        <w:rPr>
          <w:sz w:val="22"/>
          <w:szCs w:val="22"/>
        </w:rPr>
        <w:tab/>
      </w:r>
      <w:r w:rsidR="00031AB3">
        <w:rPr>
          <w:sz w:val="22"/>
          <w:szCs w:val="22"/>
        </w:rPr>
        <w:tab/>
      </w:r>
      <w:r w:rsidR="00031AB3">
        <w:rPr>
          <w:sz w:val="22"/>
          <w:szCs w:val="22"/>
        </w:rPr>
        <w:tab/>
      </w:r>
      <w:r w:rsidR="00A84A3B" w:rsidRPr="00DD26F9">
        <w:rPr>
          <w:iCs/>
          <w:sz w:val="18"/>
          <w:szCs w:val="18"/>
        </w:rPr>
        <w:t>v Eur</w:t>
      </w:r>
      <w:r w:rsidR="00A84A3B" w:rsidRPr="00DD26F9">
        <w:rPr>
          <w:iCs/>
          <w:sz w:val="18"/>
          <w:szCs w:val="18"/>
        </w:rPr>
        <w:tab/>
      </w:r>
      <w:r w:rsidR="00A84A3B" w:rsidRPr="00DD26F9">
        <w:rPr>
          <w:iCs/>
          <w:sz w:val="18"/>
          <w:szCs w:val="18"/>
        </w:rPr>
        <w:tab/>
        <w:t xml:space="preserve"> tab. č. 1</w:t>
      </w:r>
      <w:r w:rsidR="00683845" w:rsidRPr="00DD26F9">
        <w:rPr>
          <w:iCs/>
          <w:sz w:val="18"/>
          <w:szCs w:val="18"/>
        </w:rPr>
        <w:t>3</w:t>
      </w:r>
    </w:p>
    <w:tbl>
      <w:tblPr>
        <w:tblStyle w:val="Obyajntabuka1"/>
        <w:tblpPr w:leftFromText="141" w:rightFromText="141" w:vertAnchor="text" w:horzAnchor="margin" w:tblpXSpec="center" w:tblpY="162"/>
        <w:tblW w:w="9203" w:type="dxa"/>
        <w:tblLayout w:type="fixed"/>
        <w:tblLook w:val="04A0" w:firstRow="1" w:lastRow="0" w:firstColumn="1" w:lastColumn="0" w:noHBand="0" w:noVBand="1"/>
      </w:tblPr>
      <w:tblGrid>
        <w:gridCol w:w="1460"/>
        <w:gridCol w:w="861"/>
        <w:gridCol w:w="861"/>
        <w:gridCol w:w="861"/>
        <w:gridCol w:w="860"/>
        <w:gridCol w:w="860"/>
        <w:gridCol w:w="860"/>
        <w:gridCol w:w="860"/>
        <w:gridCol w:w="860"/>
        <w:gridCol w:w="860"/>
      </w:tblGrid>
      <w:tr w:rsidR="00DC3A2B" w:rsidRPr="00154AEA" w:rsidTr="00DC3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noWrap/>
            <w:hideMark/>
          </w:tcPr>
          <w:p w:rsidR="00DC3A2B" w:rsidRPr="00154AEA" w:rsidRDefault="00DC3A2B" w:rsidP="00DC3A2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lastRenderedPageBreak/>
              <w:t>Rok</w:t>
            </w:r>
          </w:p>
        </w:tc>
        <w:tc>
          <w:tcPr>
            <w:tcW w:w="861" w:type="dxa"/>
            <w:noWrap/>
            <w:vAlign w:val="center"/>
            <w:hideMark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2011</w:t>
            </w:r>
          </w:p>
        </w:tc>
        <w:tc>
          <w:tcPr>
            <w:tcW w:w="861" w:type="dxa"/>
            <w:noWrap/>
            <w:vAlign w:val="center"/>
            <w:hideMark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2012</w:t>
            </w:r>
          </w:p>
        </w:tc>
        <w:tc>
          <w:tcPr>
            <w:tcW w:w="861" w:type="dxa"/>
            <w:noWrap/>
            <w:vAlign w:val="center"/>
            <w:hideMark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2013</w:t>
            </w:r>
          </w:p>
        </w:tc>
        <w:tc>
          <w:tcPr>
            <w:tcW w:w="860" w:type="dxa"/>
            <w:noWrap/>
            <w:vAlign w:val="center"/>
            <w:hideMark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2014</w:t>
            </w:r>
          </w:p>
        </w:tc>
        <w:tc>
          <w:tcPr>
            <w:tcW w:w="860" w:type="dxa"/>
            <w:noWrap/>
            <w:vAlign w:val="bottom"/>
            <w:hideMark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2015</w:t>
            </w:r>
          </w:p>
        </w:tc>
        <w:tc>
          <w:tcPr>
            <w:tcW w:w="860" w:type="dxa"/>
            <w:vAlign w:val="bottom"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2016</w:t>
            </w:r>
          </w:p>
        </w:tc>
        <w:tc>
          <w:tcPr>
            <w:tcW w:w="860" w:type="dxa"/>
            <w:vAlign w:val="bottom"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2017</w:t>
            </w:r>
          </w:p>
        </w:tc>
        <w:tc>
          <w:tcPr>
            <w:tcW w:w="860" w:type="dxa"/>
            <w:vAlign w:val="bottom"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2018</w:t>
            </w:r>
          </w:p>
        </w:tc>
        <w:tc>
          <w:tcPr>
            <w:tcW w:w="860" w:type="dxa"/>
            <w:vAlign w:val="bottom"/>
          </w:tcPr>
          <w:p w:rsidR="00DC3A2B" w:rsidRPr="00DC3A2B" w:rsidRDefault="00DC3A2B" w:rsidP="00DC3A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Cs w:val="0"/>
                <w:sz w:val="16"/>
                <w:szCs w:val="16"/>
              </w:rPr>
              <w:t>2019</w:t>
            </w:r>
          </w:p>
        </w:tc>
      </w:tr>
      <w:tr w:rsidR="00DC3A2B" w:rsidRPr="00154AEA" w:rsidTr="00DC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Celková suma dlhu bez ŠFRB 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658 248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525 765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656 241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1 252 596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1 518 551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1 188 342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1 065 038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1 487 980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2 287 543</w:t>
            </w:r>
          </w:p>
        </w:tc>
      </w:tr>
      <w:tr w:rsidR="00DC3A2B" w:rsidRPr="00154AEA" w:rsidTr="00DC3A2B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Suma ročných splátok vrátane úrokov bez ŠFRB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164 161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165 027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542 014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152 545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193 872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756 492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307 736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313 750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309 909</w:t>
            </w:r>
          </w:p>
        </w:tc>
      </w:tr>
      <w:tr w:rsidR="00DC3A2B" w:rsidRPr="00154AEA" w:rsidTr="00DC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Dlhová služba v roku vrátane ŠFRB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747 423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340 874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1 417 796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242 114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282 450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789 419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422 547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428 532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424 691</w:t>
            </w:r>
          </w:p>
        </w:tc>
      </w:tr>
      <w:tr w:rsidR="00DC3A2B" w:rsidRPr="00154AEA" w:rsidTr="00DC3A2B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Skutočné bežné príjmy 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7 770 364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7 667 601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7 889 742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8 313 501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8 931 921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9 868 401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10 562 175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12 038 106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13 487 203</w:t>
            </w:r>
          </w:p>
        </w:tc>
      </w:tr>
      <w:tr w:rsidR="00DC3A2B" w:rsidRPr="00154AEA" w:rsidTr="00DC3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Suma dlhu mesta do 60 %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8,47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6,86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8,32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15,07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17,00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12,04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10,08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12,36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16,96</w:t>
            </w:r>
          </w:p>
        </w:tc>
      </w:tr>
      <w:tr w:rsidR="00DC3A2B" w:rsidRPr="00154AEA" w:rsidTr="00DC3A2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  <w:hideMark/>
          </w:tcPr>
          <w:p w:rsidR="00DC3A2B" w:rsidRPr="00154AEA" w:rsidRDefault="00DC3A2B" w:rsidP="00DC3A2B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sk-SK"/>
              </w:rPr>
            </w:pPr>
            <w:r w:rsidRPr="00154AE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Suma ročných splátok vrátane úrokov do 25 %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2,11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861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6,87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1,83</w:t>
            </w:r>
          </w:p>
        </w:tc>
        <w:tc>
          <w:tcPr>
            <w:tcW w:w="860" w:type="dxa"/>
            <w:vAlign w:val="center"/>
            <w:hideMark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2,17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7,67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2,91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sz w:val="16"/>
                <w:szCs w:val="16"/>
              </w:rPr>
              <w:t>2,61</w:t>
            </w:r>
          </w:p>
        </w:tc>
        <w:tc>
          <w:tcPr>
            <w:tcW w:w="860" w:type="dxa"/>
            <w:vAlign w:val="center"/>
          </w:tcPr>
          <w:p w:rsidR="00DC3A2B" w:rsidRPr="00DC3A2B" w:rsidRDefault="00DC3A2B" w:rsidP="00DC3A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2,30</w:t>
            </w:r>
          </w:p>
        </w:tc>
      </w:tr>
    </w:tbl>
    <w:p w:rsidR="00C04AF7" w:rsidRPr="000750E4" w:rsidRDefault="000750E4" w:rsidP="000750E4">
      <w:pPr>
        <w:tabs>
          <w:tab w:val="left" w:pos="1060"/>
        </w:tabs>
      </w:pPr>
      <w:r>
        <w:tab/>
      </w:r>
    </w:p>
    <w:p w:rsidR="00683845" w:rsidRPr="000750E4" w:rsidRDefault="00031AB3" w:rsidP="00E07C67">
      <w:pPr>
        <w:pStyle w:val="Default"/>
        <w:spacing w:line="276" w:lineRule="auto"/>
        <w:ind w:firstLine="708"/>
        <w:jc w:val="both"/>
        <w:rPr>
          <w:rFonts w:eastAsia="Times New Roman"/>
          <w:sz w:val="22"/>
          <w:szCs w:val="22"/>
          <w:lang w:eastAsia="sk-SK"/>
        </w:rPr>
      </w:pPr>
      <w:r>
        <w:rPr>
          <w:sz w:val="22"/>
          <w:szCs w:val="22"/>
        </w:rPr>
        <w:t xml:space="preserve">Porovnaním medziročných údajov </w:t>
      </w:r>
      <w:r w:rsidR="005A29D7" w:rsidRPr="000750E4">
        <w:rPr>
          <w:sz w:val="22"/>
          <w:szCs w:val="22"/>
        </w:rPr>
        <w:t>vývoja stavu a</w:t>
      </w:r>
      <w:r w:rsidR="007319AB">
        <w:rPr>
          <w:sz w:val="22"/>
          <w:szCs w:val="22"/>
        </w:rPr>
        <w:t> </w:t>
      </w:r>
      <w:r w:rsidR="005A29D7" w:rsidRPr="000750E4">
        <w:rPr>
          <w:sz w:val="22"/>
          <w:szCs w:val="22"/>
        </w:rPr>
        <w:t>štruktúry</w:t>
      </w:r>
      <w:r w:rsidR="007319AB">
        <w:rPr>
          <w:rFonts w:eastAsia="Times New Roman"/>
          <w:sz w:val="22"/>
          <w:szCs w:val="22"/>
          <w:lang w:eastAsia="sk-SK"/>
        </w:rPr>
        <w:t xml:space="preserve"> istiny a úrokov </w:t>
      </w:r>
      <w:r w:rsidR="00E20DFB" w:rsidRPr="000750E4">
        <w:rPr>
          <w:rFonts w:eastAsia="Times New Roman"/>
          <w:sz w:val="22"/>
          <w:szCs w:val="22"/>
          <w:lang w:eastAsia="sk-SK"/>
        </w:rPr>
        <w:t>je možné konštatovať, že v</w:t>
      </w:r>
      <w:r w:rsidR="00C04AF7" w:rsidRPr="000750E4">
        <w:rPr>
          <w:rFonts w:eastAsia="Times New Roman"/>
          <w:sz w:val="22"/>
          <w:szCs w:val="22"/>
          <w:lang w:eastAsia="sk-SK"/>
        </w:rPr>
        <w:t>ýdavky na splácanie úrokov z</w:t>
      </w:r>
      <w:r w:rsidR="00683845" w:rsidRPr="000750E4">
        <w:rPr>
          <w:rFonts w:eastAsia="Times New Roman"/>
          <w:sz w:val="22"/>
          <w:szCs w:val="22"/>
          <w:lang w:eastAsia="sk-SK"/>
        </w:rPr>
        <w:t> </w:t>
      </w:r>
      <w:r w:rsidR="00C04AF7" w:rsidRPr="000750E4">
        <w:rPr>
          <w:rFonts w:eastAsia="Times New Roman"/>
          <w:sz w:val="22"/>
          <w:szCs w:val="22"/>
          <w:lang w:eastAsia="sk-SK"/>
        </w:rPr>
        <w:t>úverov</w:t>
      </w:r>
      <w:r w:rsidR="00683845" w:rsidRPr="000750E4">
        <w:rPr>
          <w:rFonts w:eastAsia="Times New Roman"/>
          <w:sz w:val="22"/>
          <w:szCs w:val="22"/>
          <w:lang w:eastAsia="sk-SK"/>
        </w:rPr>
        <w:t xml:space="preserve"> </w:t>
      </w:r>
      <w:r w:rsidR="007319AB">
        <w:rPr>
          <w:rFonts w:eastAsia="Times New Roman"/>
          <w:sz w:val="22"/>
          <w:szCs w:val="22"/>
          <w:lang w:eastAsia="sk-SK"/>
        </w:rPr>
        <w:t>stúp</w:t>
      </w:r>
      <w:r w:rsidR="00DC3A2B">
        <w:rPr>
          <w:rFonts w:eastAsia="Times New Roman"/>
          <w:sz w:val="22"/>
          <w:szCs w:val="22"/>
          <w:lang w:eastAsia="sk-SK"/>
        </w:rPr>
        <w:t>a</w:t>
      </w:r>
      <w:r w:rsidR="007319AB">
        <w:rPr>
          <w:rFonts w:eastAsia="Times New Roman"/>
          <w:sz w:val="22"/>
          <w:szCs w:val="22"/>
          <w:lang w:eastAsia="sk-SK"/>
        </w:rPr>
        <w:t>li o</w:t>
      </w:r>
      <w:r w:rsidR="00DC3A2B">
        <w:rPr>
          <w:rFonts w:eastAsia="Times New Roman"/>
          <w:sz w:val="22"/>
          <w:szCs w:val="22"/>
          <w:lang w:eastAsia="sk-SK"/>
        </w:rPr>
        <w:t> 3.841€</w:t>
      </w:r>
      <w:r w:rsidR="00683845" w:rsidRPr="000750E4">
        <w:rPr>
          <w:rFonts w:eastAsia="Times New Roman"/>
          <w:sz w:val="22"/>
          <w:szCs w:val="22"/>
          <w:lang w:eastAsia="sk-SK"/>
        </w:rPr>
        <w:t>, avšak</w:t>
      </w:r>
      <w:r w:rsidR="00DC3A2B">
        <w:rPr>
          <w:rFonts w:eastAsia="Times New Roman"/>
          <w:sz w:val="22"/>
          <w:szCs w:val="22"/>
          <w:lang w:eastAsia="sk-SK"/>
        </w:rPr>
        <w:t xml:space="preserve"> v tomto ešte nie je započítaná istina + </w:t>
      </w:r>
      <w:r w:rsidR="00683845" w:rsidRPr="000750E4">
        <w:rPr>
          <w:rFonts w:eastAsia="Times New Roman"/>
          <w:sz w:val="22"/>
          <w:szCs w:val="22"/>
          <w:lang w:eastAsia="sk-SK"/>
        </w:rPr>
        <w:t>úrok z</w:t>
      </w:r>
      <w:r w:rsidR="00075680">
        <w:rPr>
          <w:rFonts w:eastAsia="Times New Roman"/>
          <w:sz w:val="22"/>
          <w:szCs w:val="22"/>
          <w:lang w:eastAsia="sk-SK"/>
        </w:rPr>
        <w:t xml:space="preserve"> čiastočne </w:t>
      </w:r>
      <w:r w:rsidR="00683845" w:rsidRPr="000750E4">
        <w:rPr>
          <w:rFonts w:eastAsia="Times New Roman"/>
          <w:sz w:val="22"/>
          <w:szCs w:val="22"/>
          <w:lang w:eastAsia="sk-SK"/>
        </w:rPr>
        <w:t>čerpaného kapitálového úveru</w:t>
      </w:r>
      <w:r w:rsidR="007319AB">
        <w:rPr>
          <w:rFonts w:eastAsia="Times New Roman"/>
          <w:sz w:val="22"/>
          <w:szCs w:val="22"/>
          <w:lang w:eastAsia="sk-SK"/>
        </w:rPr>
        <w:t xml:space="preserve"> vo výške </w:t>
      </w:r>
      <w:r w:rsidR="00DC3A2B">
        <w:rPr>
          <w:rFonts w:eastAsia="Times New Roman"/>
          <w:sz w:val="22"/>
          <w:szCs w:val="22"/>
          <w:lang w:eastAsia="sk-SK"/>
        </w:rPr>
        <w:t>1.1</w:t>
      </w:r>
      <w:r w:rsidR="007319AB">
        <w:rPr>
          <w:rFonts w:eastAsia="Times New Roman"/>
          <w:sz w:val="22"/>
          <w:szCs w:val="22"/>
          <w:lang w:eastAsia="sk-SK"/>
        </w:rPr>
        <w:t>00.000€</w:t>
      </w:r>
      <w:r w:rsidR="00683845" w:rsidRPr="000750E4">
        <w:rPr>
          <w:rFonts w:eastAsia="Times New Roman"/>
          <w:sz w:val="22"/>
          <w:szCs w:val="22"/>
          <w:lang w:eastAsia="sk-SK"/>
        </w:rPr>
        <w:t xml:space="preserve">. </w:t>
      </w:r>
    </w:p>
    <w:p w:rsidR="006871B4" w:rsidRDefault="005A29D7" w:rsidP="006871B4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  <w:r w:rsidRPr="000750E4">
        <w:rPr>
          <w:b/>
          <w:bCs/>
          <w:sz w:val="22"/>
          <w:szCs w:val="22"/>
        </w:rPr>
        <w:t>Mesto si svoje</w:t>
      </w:r>
      <w:r w:rsidR="00683845" w:rsidRPr="000750E4">
        <w:rPr>
          <w:b/>
          <w:bCs/>
          <w:sz w:val="22"/>
          <w:szCs w:val="22"/>
        </w:rPr>
        <w:t xml:space="preserve"> úverové </w:t>
      </w:r>
      <w:r w:rsidRPr="000750E4">
        <w:rPr>
          <w:b/>
          <w:bCs/>
          <w:sz w:val="22"/>
          <w:szCs w:val="22"/>
        </w:rPr>
        <w:t xml:space="preserve">záväzky </w:t>
      </w:r>
      <w:r w:rsidR="00683845" w:rsidRPr="000750E4">
        <w:rPr>
          <w:b/>
          <w:bCs/>
          <w:sz w:val="22"/>
          <w:szCs w:val="22"/>
        </w:rPr>
        <w:t>priebežne plní</w:t>
      </w:r>
      <w:r w:rsidRPr="000750E4">
        <w:rPr>
          <w:b/>
          <w:bCs/>
          <w:sz w:val="22"/>
          <w:szCs w:val="22"/>
        </w:rPr>
        <w:t xml:space="preserve">, v roku </w:t>
      </w:r>
      <w:r w:rsidR="00683845" w:rsidRPr="000750E4">
        <w:rPr>
          <w:b/>
          <w:bCs/>
          <w:sz w:val="22"/>
          <w:szCs w:val="22"/>
        </w:rPr>
        <w:t>201</w:t>
      </w:r>
      <w:r w:rsidR="008A6EC0">
        <w:rPr>
          <w:b/>
          <w:bCs/>
          <w:sz w:val="22"/>
          <w:szCs w:val="22"/>
        </w:rPr>
        <w:t>9</w:t>
      </w:r>
      <w:r w:rsidR="00683845" w:rsidRPr="000750E4">
        <w:rPr>
          <w:b/>
          <w:bCs/>
          <w:sz w:val="22"/>
          <w:szCs w:val="22"/>
        </w:rPr>
        <w:t xml:space="preserve"> prijalo </w:t>
      </w:r>
      <w:r w:rsidR="008A6EC0">
        <w:rPr>
          <w:b/>
          <w:bCs/>
          <w:sz w:val="22"/>
          <w:szCs w:val="22"/>
        </w:rPr>
        <w:t xml:space="preserve">dlhodobý </w:t>
      </w:r>
      <w:r w:rsidR="00683845" w:rsidRPr="000750E4">
        <w:rPr>
          <w:b/>
          <w:bCs/>
          <w:sz w:val="22"/>
          <w:szCs w:val="22"/>
        </w:rPr>
        <w:t xml:space="preserve">kapitálový úver vo výške </w:t>
      </w:r>
      <w:r w:rsidR="008A6EC0">
        <w:rPr>
          <w:b/>
          <w:bCs/>
          <w:sz w:val="22"/>
          <w:szCs w:val="22"/>
        </w:rPr>
        <w:t>1.1</w:t>
      </w:r>
      <w:r w:rsidR="00683845" w:rsidRPr="000750E4">
        <w:rPr>
          <w:b/>
          <w:bCs/>
          <w:sz w:val="22"/>
          <w:szCs w:val="22"/>
        </w:rPr>
        <w:t xml:space="preserve">00.00€. </w:t>
      </w:r>
      <w:r w:rsidRPr="000750E4">
        <w:rPr>
          <w:b/>
          <w:bCs/>
          <w:sz w:val="22"/>
          <w:szCs w:val="22"/>
        </w:rPr>
        <w:t xml:space="preserve">Na základe uvedených údajov je možné konštatovať, že Mesto je v chválitebnej finančnej kondícií. </w:t>
      </w:r>
      <w:r w:rsidR="00C04AF7" w:rsidRPr="000750E4">
        <w:rPr>
          <w:b/>
          <w:sz w:val="22"/>
          <w:szCs w:val="22"/>
        </w:rPr>
        <w:t xml:space="preserve">Mesto za sledovaných </w:t>
      </w:r>
      <w:r w:rsidR="008A6EC0">
        <w:rPr>
          <w:b/>
          <w:sz w:val="22"/>
          <w:szCs w:val="22"/>
        </w:rPr>
        <w:t>9</w:t>
      </w:r>
      <w:r w:rsidR="00C04AF7" w:rsidRPr="000750E4">
        <w:rPr>
          <w:b/>
          <w:sz w:val="22"/>
          <w:szCs w:val="22"/>
        </w:rPr>
        <w:t xml:space="preserve"> rokov vždy spĺňalo podmienky na prijatie návratných zdrojov financovania.</w:t>
      </w:r>
      <w:r w:rsidR="00621080">
        <w:rPr>
          <w:b/>
          <w:sz w:val="22"/>
          <w:szCs w:val="22"/>
        </w:rPr>
        <w:t xml:space="preserve"> Finančná rezerva na ďalšie využitie kapitálových finančných zdrojov je ešte</w:t>
      </w:r>
      <w:r w:rsidR="00075680">
        <w:rPr>
          <w:b/>
          <w:sz w:val="22"/>
          <w:szCs w:val="22"/>
        </w:rPr>
        <w:t xml:space="preserve"> naďalej </w:t>
      </w:r>
      <w:r w:rsidR="00621080">
        <w:rPr>
          <w:b/>
          <w:sz w:val="22"/>
          <w:szCs w:val="22"/>
        </w:rPr>
        <w:t>k</w:t>
      </w:r>
      <w:r w:rsidR="00075680">
        <w:rPr>
          <w:b/>
          <w:sz w:val="22"/>
          <w:szCs w:val="22"/>
        </w:rPr>
        <w:t xml:space="preserve"> </w:t>
      </w:r>
      <w:r w:rsidR="00621080">
        <w:rPr>
          <w:b/>
          <w:sz w:val="22"/>
          <w:szCs w:val="22"/>
        </w:rPr>
        <w:t xml:space="preserve">dispozícií. </w:t>
      </w:r>
    </w:p>
    <w:p w:rsidR="006871B4" w:rsidRDefault="006871B4" w:rsidP="006871B4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</w:p>
    <w:p w:rsidR="006871B4" w:rsidRPr="006871B4" w:rsidRDefault="00075680" w:rsidP="006871B4">
      <w:pPr>
        <w:pStyle w:val="Default"/>
        <w:spacing w:line="276" w:lineRule="auto"/>
        <w:ind w:firstLine="708"/>
        <w:jc w:val="both"/>
        <w:rPr>
          <w:rFonts w:eastAsia="Times New Roman"/>
          <w:sz w:val="22"/>
          <w:szCs w:val="22"/>
          <w:lang w:eastAsia="sk-SK"/>
        </w:rPr>
      </w:pPr>
      <w:r>
        <w:rPr>
          <w:b/>
          <w:sz w:val="22"/>
          <w:szCs w:val="22"/>
        </w:rPr>
        <w:t>Celková s</w:t>
      </w:r>
      <w:r w:rsidR="006871B4" w:rsidRPr="00075680">
        <w:rPr>
          <w:b/>
          <w:sz w:val="22"/>
          <w:szCs w:val="22"/>
        </w:rPr>
        <w:t>uma dlhu</w:t>
      </w:r>
      <w:r w:rsidR="008A6EC0" w:rsidRPr="00075680">
        <w:rPr>
          <w:b/>
          <w:sz w:val="22"/>
          <w:szCs w:val="22"/>
        </w:rPr>
        <w:t xml:space="preserve"> (istin</w:t>
      </w:r>
      <w:r>
        <w:rPr>
          <w:b/>
          <w:sz w:val="22"/>
          <w:szCs w:val="22"/>
        </w:rPr>
        <w:t>y</w:t>
      </w:r>
      <w:r w:rsidR="008A6EC0" w:rsidRPr="00075680">
        <w:rPr>
          <w:b/>
          <w:sz w:val="22"/>
          <w:szCs w:val="22"/>
        </w:rPr>
        <w:t>)</w:t>
      </w:r>
      <w:r w:rsidR="006871B4" w:rsidRPr="00CC7AA1">
        <w:rPr>
          <w:b/>
          <w:sz w:val="22"/>
          <w:szCs w:val="22"/>
        </w:rPr>
        <w:t xml:space="preserve"> a suma ročných splátok je </w:t>
      </w:r>
      <w:r>
        <w:rPr>
          <w:b/>
          <w:sz w:val="22"/>
          <w:szCs w:val="22"/>
        </w:rPr>
        <w:t xml:space="preserve">za </w:t>
      </w:r>
      <w:r w:rsidR="006871B4" w:rsidRPr="00CC7AA1">
        <w:rPr>
          <w:b/>
          <w:sz w:val="22"/>
          <w:szCs w:val="22"/>
        </w:rPr>
        <w:t>celé sledované obdobie pod zákonom stanovenou hranicou. Zadlženosť m</w:t>
      </w:r>
      <w:r w:rsidR="008A6EC0">
        <w:rPr>
          <w:b/>
          <w:sz w:val="22"/>
          <w:szCs w:val="22"/>
        </w:rPr>
        <w:t>esta na 1. obyvateľa za rok 2019</w:t>
      </w:r>
      <w:r w:rsidR="006871B4" w:rsidRPr="00CC7AA1">
        <w:rPr>
          <w:b/>
          <w:sz w:val="22"/>
          <w:szCs w:val="22"/>
        </w:rPr>
        <w:t xml:space="preserve"> je </w:t>
      </w:r>
      <w:r w:rsidR="008D7289">
        <w:rPr>
          <w:b/>
          <w:sz w:val="22"/>
          <w:szCs w:val="22"/>
        </w:rPr>
        <w:t>141,59</w:t>
      </w:r>
      <w:r w:rsidR="006871B4" w:rsidRPr="00CC7AA1">
        <w:rPr>
          <w:b/>
          <w:sz w:val="22"/>
          <w:szCs w:val="22"/>
        </w:rPr>
        <w:t>€. Prebytok bežného rozpočtu v porovnaní s rokom 201</w:t>
      </w:r>
      <w:r w:rsidR="008D7289">
        <w:rPr>
          <w:b/>
          <w:sz w:val="22"/>
          <w:szCs w:val="22"/>
        </w:rPr>
        <w:t>8</w:t>
      </w:r>
      <w:r w:rsidR="006871B4" w:rsidRPr="00CC7AA1">
        <w:rPr>
          <w:b/>
          <w:sz w:val="22"/>
          <w:szCs w:val="22"/>
        </w:rPr>
        <w:t xml:space="preserve"> je</w:t>
      </w:r>
      <w:r w:rsidR="008D7289">
        <w:rPr>
          <w:b/>
          <w:sz w:val="22"/>
          <w:szCs w:val="22"/>
        </w:rPr>
        <w:t xml:space="preserve"> podstatne vyšší</w:t>
      </w:r>
      <w:r w:rsidR="006871B4" w:rsidRPr="00CC7AA1">
        <w:rPr>
          <w:b/>
          <w:sz w:val="22"/>
          <w:szCs w:val="22"/>
        </w:rPr>
        <w:t xml:space="preserve"> o</w:t>
      </w:r>
      <w:r w:rsidR="008D7289">
        <w:rPr>
          <w:b/>
          <w:sz w:val="22"/>
          <w:szCs w:val="22"/>
        </w:rPr>
        <w:t xml:space="preserve"> 641.813€. </w:t>
      </w:r>
      <w:r w:rsidR="006871B4" w:rsidRPr="00CC7AA1">
        <w:rPr>
          <w:b/>
          <w:sz w:val="22"/>
          <w:szCs w:val="22"/>
        </w:rPr>
        <w:t xml:space="preserve">Schopnosť splácať nové úvery </w:t>
      </w:r>
      <w:r w:rsidR="008D7289">
        <w:rPr>
          <w:b/>
          <w:sz w:val="22"/>
          <w:szCs w:val="22"/>
        </w:rPr>
        <w:t>rástla</w:t>
      </w:r>
      <w:r w:rsidR="006871B4" w:rsidRPr="00CC7AA1">
        <w:rPr>
          <w:b/>
          <w:sz w:val="22"/>
          <w:szCs w:val="22"/>
        </w:rPr>
        <w:t>.</w:t>
      </w:r>
      <w:r w:rsidR="006871B4">
        <w:rPr>
          <w:b/>
          <w:sz w:val="22"/>
          <w:szCs w:val="22"/>
        </w:rPr>
        <w:t xml:space="preserve"> </w:t>
      </w:r>
    </w:p>
    <w:p w:rsidR="006871B4" w:rsidRPr="000750E4" w:rsidRDefault="006871B4" w:rsidP="00E658E8">
      <w:pPr>
        <w:pStyle w:val="Zkladntext"/>
        <w:suppressAutoHyphens/>
        <w:rPr>
          <w:sz w:val="22"/>
          <w:szCs w:val="22"/>
        </w:rPr>
      </w:pPr>
    </w:p>
    <w:p w:rsidR="00982947" w:rsidRPr="000750E4" w:rsidRDefault="009744A8" w:rsidP="00A52865">
      <w:pPr>
        <w:pStyle w:val="Zkladntext"/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Celková suma dlhu a celková suma ročných splátok </w:t>
      </w:r>
      <w:r w:rsidR="00982947" w:rsidRPr="000750E4">
        <w:rPr>
          <w:sz w:val="22"/>
          <w:szCs w:val="22"/>
        </w:rPr>
        <w:t>v prepočte na jedného oby</w:t>
      </w:r>
      <w:r>
        <w:rPr>
          <w:sz w:val="22"/>
          <w:szCs w:val="22"/>
        </w:rPr>
        <w:t>vateľa v</w:t>
      </w:r>
      <w:r w:rsidR="00A52865" w:rsidRPr="000750E4">
        <w:rPr>
          <w:sz w:val="22"/>
          <w:szCs w:val="22"/>
        </w:rPr>
        <w:t xml:space="preserve"> jednotlivých rokoch : </w:t>
      </w:r>
    </w:p>
    <w:p w:rsidR="00982947" w:rsidRPr="00DD26F9" w:rsidRDefault="00982947" w:rsidP="00402D6C">
      <w:pPr>
        <w:pStyle w:val="Default"/>
        <w:ind w:left="4956" w:firstLine="708"/>
        <w:jc w:val="both"/>
        <w:rPr>
          <w:iCs/>
          <w:sz w:val="18"/>
          <w:szCs w:val="18"/>
        </w:rPr>
      </w:pPr>
      <w:r w:rsidRPr="00DD26F9">
        <w:rPr>
          <w:iCs/>
          <w:sz w:val="18"/>
          <w:szCs w:val="18"/>
        </w:rPr>
        <w:t>v Eur</w:t>
      </w:r>
      <w:r w:rsidRPr="00DD26F9">
        <w:rPr>
          <w:iCs/>
          <w:sz w:val="18"/>
          <w:szCs w:val="18"/>
        </w:rPr>
        <w:tab/>
      </w:r>
      <w:r w:rsidRPr="00DD26F9">
        <w:rPr>
          <w:iCs/>
          <w:sz w:val="18"/>
          <w:szCs w:val="18"/>
        </w:rPr>
        <w:tab/>
        <w:t xml:space="preserve"> </w:t>
      </w:r>
      <w:proofErr w:type="spellStart"/>
      <w:r w:rsidR="00D61EFD" w:rsidRPr="00DD26F9">
        <w:rPr>
          <w:iCs/>
          <w:sz w:val="18"/>
          <w:szCs w:val="18"/>
        </w:rPr>
        <w:t>t</w:t>
      </w:r>
      <w:r w:rsidRPr="00DD26F9">
        <w:rPr>
          <w:iCs/>
          <w:sz w:val="18"/>
          <w:szCs w:val="18"/>
        </w:rPr>
        <w:t>ab.</w:t>
      </w:r>
      <w:r w:rsidR="005D7F0B" w:rsidRPr="00DD26F9">
        <w:rPr>
          <w:iCs/>
          <w:sz w:val="18"/>
          <w:szCs w:val="18"/>
        </w:rPr>
        <w:t>č</w:t>
      </w:r>
      <w:proofErr w:type="spellEnd"/>
      <w:r w:rsidR="005D7F0B" w:rsidRPr="00DD26F9">
        <w:rPr>
          <w:iCs/>
          <w:sz w:val="18"/>
          <w:szCs w:val="18"/>
        </w:rPr>
        <w:t>. 14</w:t>
      </w:r>
    </w:p>
    <w:tbl>
      <w:tblPr>
        <w:tblStyle w:val="Obyajntabuka1"/>
        <w:tblW w:w="8339" w:type="dxa"/>
        <w:tblLook w:val="04A0" w:firstRow="1" w:lastRow="0" w:firstColumn="1" w:lastColumn="0" w:noHBand="0" w:noVBand="1"/>
      </w:tblPr>
      <w:tblGrid>
        <w:gridCol w:w="1985"/>
        <w:gridCol w:w="724"/>
        <w:gridCol w:w="724"/>
        <w:gridCol w:w="724"/>
        <w:gridCol w:w="724"/>
        <w:gridCol w:w="686"/>
        <w:gridCol w:w="687"/>
        <w:gridCol w:w="687"/>
        <w:gridCol w:w="687"/>
        <w:gridCol w:w="711"/>
      </w:tblGrid>
      <w:tr w:rsidR="008D7289" w:rsidRPr="00982947" w:rsidTr="008D72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8D7289" w:rsidRPr="00031AB3" w:rsidRDefault="008D7289" w:rsidP="008D72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24" w:type="dxa"/>
            <w:noWrap/>
            <w:hideMark/>
          </w:tcPr>
          <w:p w:rsidR="008D7289" w:rsidRPr="00031AB3" w:rsidRDefault="008D7289" w:rsidP="008D7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2011</w:t>
            </w:r>
          </w:p>
        </w:tc>
        <w:tc>
          <w:tcPr>
            <w:tcW w:w="724" w:type="dxa"/>
            <w:noWrap/>
            <w:hideMark/>
          </w:tcPr>
          <w:p w:rsidR="008D7289" w:rsidRPr="00031AB3" w:rsidRDefault="008D7289" w:rsidP="008D7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2012</w:t>
            </w:r>
          </w:p>
        </w:tc>
        <w:tc>
          <w:tcPr>
            <w:tcW w:w="724" w:type="dxa"/>
            <w:noWrap/>
            <w:hideMark/>
          </w:tcPr>
          <w:p w:rsidR="008D7289" w:rsidRPr="00031AB3" w:rsidRDefault="008D7289" w:rsidP="008D7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2013</w:t>
            </w:r>
          </w:p>
        </w:tc>
        <w:tc>
          <w:tcPr>
            <w:tcW w:w="724" w:type="dxa"/>
            <w:noWrap/>
            <w:hideMark/>
          </w:tcPr>
          <w:p w:rsidR="008D7289" w:rsidRPr="00031AB3" w:rsidRDefault="008D7289" w:rsidP="008D7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2014</w:t>
            </w:r>
          </w:p>
        </w:tc>
        <w:tc>
          <w:tcPr>
            <w:tcW w:w="705" w:type="dxa"/>
          </w:tcPr>
          <w:p w:rsidR="008D7289" w:rsidRPr="00031AB3" w:rsidRDefault="008D7289" w:rsidP="008D72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2015</w:t>
            </w:r>
          </w:p>
        </w:tc>
        <w:tc>
          <w:tcPr>
            <w:tcW w:w="706" w:type="dxa"/>
          </w:tcPr>
          <w:p w:rsidR="008D7289" w:rsidRPr="00031AB3" w:rsidRDefault="008D7289" w:rsidP="008D7289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706" w:type="dxa"/>
          </w:tcPr>
          <w:p w:rsidR="008D7289" w:rsidRPr="00031AB3" w:rsidRDefault="008D7289" w:rsidP="008D7289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2017</w:t>
            </w:r>
          </w:p>
        </w:tc>
        <w:tc>
          <w:tcPr>
            <w:tcW w:w="706" w:type="dxa"/>
          </w:tcPr>
          <w:p w:rsidR="008D7289" w:rsidRPr="00031AB3" w:rsidRDefault="008D7289" w:rsidP="008D7289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635" w:type="dxa"/>
          </w:tcPr>
          <w:p w:rsidR="008D7289" w:rsidRPr="00031AB3" w:rsidRDefault="008D7289" w:rsidP="008D7289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9</w:t>
            </w:r>
          </w:p>
        </w:tc>
      </w:tr>
      <w:tr w:rsidR="008D7289" w:rsidRPr="00982947" w:rsidTr="008D7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hideMark/>
          </w:tcPr>
          <w:p w:rsidR="008D7289" w:rsidRPr="00031AB3" w:rsidRDefault="008D7289" w:rsidP="008D7289">
            <w:pPr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031AB3">
              <w:rPr>
                <w:rFonts w:ascii="Times New Roman" w:hAnsi="Times New Roman" w:cs="Times New Roman"/>
                <w:bCs w:val="0"/>
                <w:sz w:val="18"/>
                <w:szCs w:val="18"/>
              </w:rPr>
              <w:t>Celková suma dlhu v prepočte na jedného obyvateľa (bez ŠFRB)</w:t>
            </w:r>
          </w:p>
        </w:tc>
        <w:tc>
          <w:tcPr>
            <w:tcW w:w="724" w:type="dxa"/>
            <w:noWrap/>
            <w:hideMark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41,14</w:t>
            </w:r>
          </w:p>
        </w:tc>
        <w:tc>
          <w:tcPr>
            <w:tcW w:w="724" w:type="dxa"/>
            <w:noWrap/>
            <w:hideMark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32,41</w:t>
            </w:r>
          </w:p>
        </w:tc>
        <w:tc>
          <w:tcPr>
            <w:tcW w:w="724" w:type="dxa"/>
            <w:noWrap/>
            <w:hideMark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40,45</w:t>
            </w:r>
          </w:p>
        </w:tc>
        <w:tc>
          <w:tcPr>
            <w:tcW w:w="724" w:type="dxa"/>
            <w:noWrap/>
            <w:hideMark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77,14</w:t>
            </w:r>
          </w:p>
        </w:tc>
        <w:tc>
          <w:tcPr>
            <w:tcW w:w="705" w:type="dxa"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93,62</w:t>
            </w:r>
          </w:p>
        </w:tc>
        <w:tc>
          <w:tcPr>
            <w:tcW w:w="706" w:type="dxa"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73,42</w:t>
            </w:r>
          </w:p>
        </w:tc>
        <w:tc>
          <w:tcPr>
            <w:tcW w:w="706" w:type="dxa"/>
          </w:tcPr>
          <w:p w:rsidR="008D7289" w:rsidRPr="009744A8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65,78</w:t>
            </w:r>
          </w:p>
        </w:tc>
        <w:tc>
          <w:tcPr>
            <w:tcW w:w="706" w:type="dxa"/>
          </w:tcPr>
          <w:p w:rsidR="008D7289" w:rsidRPr="008D7289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7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92,10</w:t>
            </w:r>
          </w:p>
        </w:tc>
        <w:tc>
          <w:tcPr>
            <w:tcW w:w="635" w:type="dxa"/>
          </w:tcPr>
          <w:p w:rsidR="008D7289" w:rsidRPr="00031AB3" w:rsidRDefault="008D7289" w:rsidP="008D72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141,59</w:t>
            </w:r>
          </w:p>
        </w:tc>
      </w:tr>
      <w:tr w:rsidR="008D7289" w:rsidRPr="00982947" w:rsidTr="008D7289">
        <w:trPr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8D7289" w:rsidRPr="00031AB3" w:rsidRDefault="008D7289" w:rsidP="008D7289">
            <w:pPr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031AB3">
              <w:rPr>
                <w:rFonts w:ascii="Times New Roman" w:hAnsi="Times New Roman" w:cs="Times New Roman"/>
                <w:bCs w:val="0"/>
                <w:sz w:val="18"/>
                <w:szCs w:val="18"/>
              </w:rPr>
              <w:t>Celková suma ročných splátok (istiny a úrokov) v prepočte na jedného obyvateľa</w:t>
            </w:r>
          </w:p>
        </w:tc>
        <w:tc>
          <w:tcPr>
            <w:tcW w:w="724" w:type="dxa"/>
            <w:noWrap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10,26</w:t>
            </w:r>
          </w:p>
        </w:tc>
        <w:tc>
          <w:tcPr>
            <w:tcW w:w="724" w:type="dxa"/>
            <w:noWrap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10,17</w:t>
            </w:r>
          </w:p>
        </w:tc>
        <w:tc>
          <w:tcPr>
            <w:tcW w:w="724" w:type="dxa"/>
            <w:noWrap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33,41</w:t>
            </w:r>
          </w:p>
        </w:tc>
        <w:tc>
          <w:tcPr>
            <w:tcW w:w="724" w:type="dxa"/>
            <w:noWrap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9,39</w:t>
            </w:r>
          </w:p>
        </w:tc>
        <w:tc>
          <w:tcPr>
            <w:tcW w:w="705" w:type="dxa"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11,95</w:t>
            </w:r>
          </w:p>
        </w:tc>
        <w:tc>
          <w:tcPr>
            <w:tcW w:w="706" w:type="dxa"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46,74</w:t>
            </w:r>
          </w:p>
        </w:tc>
        <w:tc>
          <w:tcPr>
            <w:tcW w:w="706" w:type="dxa"/>
          </w:tcPr>
          <w:p w:rsidR="008D7289" w:rsidRPr="009744A8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744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19,01</w:t>
            </w:r>
          </w:p>
        </w:tc>
        <w:tc>
          <w:tcPr>
            <w:tcW w:w="706" w:type="dxa"/>
          </w:tcPr>
          <w:p w:rsidR="008D7289" w:rsidRPr="008D7289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7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19,42</w:t>
            </w:r>
          </w:p>
        </w:tc>
        <w:tc>
          <w:tcPr>
            <w:tcW w:w="635" w:type="dxa"/>
          </w:tcPr>
          <w:p w:rsidR="008D7289" w:rsidRPr="00031AB3" w:rsidRDefault="008D7289" w:rsidP="008D72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1A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</w:t>
            </w:r>
          </w:p>
        </w:tc>
      </w:tr>
    </w:tbl>
    <w:p w:rsidR="003414A1" w:rsidRDefault="003414A1" w:rsidP="00086E58">
      <w:pPr>
        <w:pStyle w:val="Default"/>
        <w:ind w:firstLine="708"/>
        <w:jc w:val="both"/>
        <w:rPr>
          <w:b/>
          <w:bCs/>
          <w:sz w:val="23"/>
          <w:szCs w:val="23"/>
          <w:highlight w:val="yellow"/>
        </w:rPr>
      </w:pPr>
    </w:p>
    <w:p w:rsidR="00982947" w:rsidRPr="00E658E8" w:rsidRDefault="00982947" w:rsidP="00086E58">
      <w:pPr>
        <w:pStyle w:val="Default"/>
        <w:ind w:firstLine="708"/>
        <w:jc w:val="both"/>
        <w:rPr>
          <w:b/>
          <w:iCs/>
          <w:smallCaps/>
        </w:rPr>
      </w:pPr>
    </w:p>
    <w:p w:rsidR="001936DA" w:rsidRDefault="001936DA" w:rsidP="00E07C67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>Údaje o hospodárení príspevkov</w:t>
      </w:r>
      <w:r w:rsidR="00172D5A">
        <w:rPr>
          <w:b/>
          <w:iCs/>
          <w:smallCaps/>
          <w:sz w:val="26"/>
          <w:szCs w:val="26"/>
        </w:rPr>
        <w:t>ej</w:t>
      </w:r>
      <w:r w:rsidRPr="001936DA">
        <w:rPr>
          <w:b/>
          <w:iCs/>
          <w:smallCaps/>
          <w:sz w:val="26"/>
          <w:szCs w:val="26"/>
        </w:rPr>
        <w:t xml:space="preserve"> organizáci</w:t>
      </w:r>
      <w:r w:rsidR="00172D5A">
        <w:rPr>
          <w:b/>
          <w:iCs/>
          <w:smallCaps/>
          <w:sz w:val="26"/>
          <w:szCs w:val="26"/>
        </w:rPr>
        <w:t>e</w:t>
      </w:r>
      <w:r w:rsidRPr="001936DA">
        <w:rPr>
          <w:b/>
          <w:iCs/>
          <w:smallCaps/>
          <w:sz w:val="26"/>
          <w:szCs w:val="26"/>
        </w:rPr>
        <w:t xml:space="preserve"> v pôsobnosti mesta </w:t>
      </w:r>
    </w:p>
    <w:p w:rsidR="00A54BC0" w:rsidRDefault="00A54BC0" w:rsidP="00E07C67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E20DFB" w:rsidRPr="000750E4" w:rsidRDefault="00E20DFB" w:rsidP="00E07C67">
      <w:pPr>
        <w:pStyle w:val="Default"/>
        <w:spacing w:line="276" w:lineRule="auto"/>
        <w:ind w:firstLine="709"/>
        <w:jc w:val="both"/>
        <w:rPr>
          <w:sz w:val="22"/>
          <w:szCs w:val="22"/>
        </w:rPr>
      </w:pPr>
      <w:r w:rsidRPr="000750E4">
        <w:rPr>
          <w:rFonts w:eastAsia="Times New Roman"/>
          <w:sz w:val="22"/>
          <w:szCs w:val="22"/>
          <w:lang w:eastAsia="sk-SK"/>
        </w:rPr>
        <w:t xml:space="preserve">Príspevková organizácia Verejnoprospešné služby, </w:t>
      </w:r>
      <w:proofErr w:type="spellStart"/>
      <w:r w:rsidRPr="000750E4">
        <w:rPr>
          <w:rFonts w:eastAsia="Times New Roman"/>
          <w:sz w:val="22"/>
          <w:szCs w:val="22"/>
          <w:lang w:eastAsia="sk-SK"/>
        </w:rPr>
        <w:t>p.o</w:t>
      </w:r>
      <w:proofErr w:type="spellEnd"/>
      <w:r w:rsidRPr="000750E4">
        <w:rPr>
          <w:rFonts w:eastAsia="Times New Roman"/>
          <w:sz w:val="22"/>
          <w:szCs w:val="22"/>
          <w:lang w:eastAsia="sk-SK"/>
        </w:rPr>
        <w:t xml:space="preserve">. Stará Ľubovňa hospodári, spravuje a udržiava majetok mesta v súlade so zriaďovacou listinou,  vykonáva hlavnú činnosť v súlade s požiadavkami mesta a podnikateľskú činnosť </w:t>
      </w:r>
      <w:r w:rsidR="00683845" w:rsidRPr="000750E4">
        <w:rPr>
          <w:rFonts w:eastAsia="Times New Roman"/>
          <w:sz w:val="22"/>
          <w:szCs w:val="22"/>
          <w:lang w:eastAsia="sk-SK"/>
        </w:rPr>
        <w:t xml:space="preserve">v súlade so živnostenským oprávnením za účelom </w:t>
      </w:r>
      <w:r w:rsidR="00683845" w:rsidRPr="000750E4">
        <w:rPr>
          <w:rFonts w:eastAsia="Times New Roman"/>
          <w:sz w:val="22"/>
          <w:szCs w:val="22"/>
          <w:lang w:eastAsia="sk-SK"/>
        </w:rPr>
        <w:lastRenderedPageBreak/>
        <w:t>dosahovania</w:t>
      </w:r>
      <w:r w:rsidRPr="000750E4">
        <w:rPr>
          <w:rFonts w:eastAsia="Times New Roman"/>
          <w:sz w:val="22"/>
          <w:szCs w:val="22"/>
          <w:lang w:eastAsia="sk-SK"/>
        </w:rPr>
        <w:t xml:space="preserve"> zisku. </w:t>
      </w:r>
      <w:r w:rsidRPr="000750E4">
        <w:rPr>
          <w:sz w:val="22"/>
          <w:szCs w:val="22"/>
        </w:rPr>
        <w:t>Príspevok pre rozpočtovú organizáciu bol predmetom schválenia mestským zas</w:t>
      </w:r>
      <w:r w:rsidR="00DF0A2B" w:rsidRPr="000750E4">
        <w:rPr>
          <w:sz w:val="22"/>
          <w:szCs w:val="22"/>
        </w:rPr>
        <w:t>tupiteľstvom v rámci Programu 3</w:t>
      </w:r>
      <w:r w:rsidRPr="000750E4">
        <w:rPr>
          <w:sz w:val="22"/>
          <w:szCs w:val="22"/>
        </w:rPr>
        <w:t xml:space="preserve">: Služby občanom ako súčasť schváleného rozpočtu mesta. </w:t>
      </w:r>
    </w:p>
    <w:p w:rsidR="006D29AA" w:rsidRPr="000750E4" w:rsidRDefault="006D29AA" w:rsidP="00E07C67">
      <w:pPr>
        <w:pStyle w:val="Default"/>
        <w:spacing w:line="276" w:lineRule="auto"/>
        <w:ind w:firstLine="709"/>
        <w:jc w:val="both"/>
        <w:rPr>
          <w:rFonts w:eastAsia="Times New Roman"/>
          <w:sz w:val="22"/>
          <w:szCs w:val="22"/>
          <w:lang w:eastAsia="sk-SK"/>
        </w:rPr>
      </w:pPr>
    </w:p>
    <w:p w:rsidR="00E20DFB" w:rsidRPr="000750E4" w:rsidRDefault="006D29AA" w:rsidP="00E07C67">
      <w:pPr>
        <w:pStyle w:val="Default"/>
        <w:spacing w:line="276" w:lineRule="auto"/>
        <w:ind w:firstLine="709"/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 xml:space="preserve">Údaje o poskytnutí príspevku na prevádzku príspevkovej organizácie </w:t>
      </w:r>
    </w:p>
    <w:p w:rsidR="006D29AA" w:rsidRPr="00DD26F9" w:rsidRDefault="006D29AA" w:rsidP="00D143FD">
      <w:pPr>
        <w:pStyle w:val="Default"/>
        <w:spacing w:line="276" w:lineRule="auto"/>
        <w:ind w:firstLine="708"/>
        <w:jc w:val="both"/>
        <w:rPr>
          <w:rFonts w:eastAsia="Times New Roman"/>
          <w:sz w:val="18"/>
          <w:szCs w:val="18"/>
          <w:lang w:eastAsia="sk-SK"/>
        </w:rPr>
      </w:pPr>
      <w:r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>
        <w:rPr>
          <w:iCs/>
          <w:sz w:val="23"/>
          <w:szCs w:val="23"/>
        </w:rPr>
        <w:tab/>
      </w:r>
      <w:r w:rsidR="00E07C67">
        <w:rPr>
          <w:iCs/>
          <w:sz w:val="23"/>
          <w:szCs w:val="23"/>
        </w:rPr>
        <w:tab/>
      </w:r>
      <w:r w:rsidRPr="00DD26F9">
        <w:rPr>
          <w:iCs/>
          <w:sz w:val="18"/>
          <w:szCs w:val="18"/>
        </w:rPr>
        <w:t>v Eur</w:t>
      </w:r>
      <w:r w:rsidRPr="00DD26F9">
        <w:rPr>
          <w:rFonts w:eastAsia="Times New Roman"/>
          <w:sz w:val="18"/>
          <w:szCs w:val="18"/>
          <w:lang w:eastAsia="sk-SK"/>
        </w:rPr>
        <w:t xml:space="preserve"> </w:t>
      </w:r>
      <w:r w:rsidRPr="00DD26F9">
        <w:rPr>
          <w:rFonts w:eastAsia="Times New Roman"/>
          <w:sz w:val="18"/>
          <w:szCs w:val="18"/>
          <w:lang w:eastAsia="sk-SK"/>
        </w:rPr>
        <w:tab/>
      </w:r>
      <w:r w:rsidRPr="00DD26F9">
        <w:rPr>
          <w:rFonts w:eastAsia="Times New Roman"/>
          <w:sz w:val="18"/>
          <w:szCs w:val="18"/>
          <w:lang w:eastAsia="sk-SK"/>
        </w:rPr>
        <w:tab/>
      </w:r>
      <w:r w:rsidR="005E0DEB" w:rsidRPr="00DD26F9">
        <w:rPr>
          <w:rFonts w:eastAsia="Times New Roman"/>
          <w:sz w:val="18"/>
          <w:szCs w:val="18"/>
          <w:lang w:eastAsia="sk-SK"/>
        </w:rPr>
        <w:t>t</w:t>
      </w:r>
      <w:r w:rsidR="005D7F0B" w:rsidRPr="00DD26F9">
        <w:rPr>
          <w:rFonts w:eastAsia="Times New Roman"/>
          <w:sz w:val="18"/>
          <w:szCs w:val="18"/>
          <w:lang w:eastAsia="sk-SK"/>
        </w:rPr>
        <w:t>ab. č. 15</w:t>
      </w:r>
      <w:r w:rsidRPr="00DD26F9">
        <w:rPr>
          <w:rFonts w:eastAsia="Times New Roman"/>
          <w:sz w:val="18"/>
          <w:szCs w:val="18"/>
          <w:lang w:eastAsia="sk-SK"/>
        </w:rPr>
        <w:t xml:space="preserve"> </w:t>
      </w:r>
    </w:p>
    <w:tbl>
      <w:tblPr>
        <w:tblStyle w:val="Obyajntabuka1"/>
        <w:tblW w:w="9067" w:type="dxa"/>
        <w:tblLayout w:type="fixed"/>
        <w:tblLook w:val="04A0" w:firstRow="1" w:lastRow="0" w:firstColumn="1" w:lastColumn="0" w:noHBand="0" w:noVBand="1"/>
      </w:tblPr>
      <w:tblGrid>
        <w:gridCol w:w="1432"/>
        <w:gridCol w:w="1257"/>
        <w:gridCol w:w="1134"/>
        <w:gridCol w:w="1134"/>
        <w:gridCol w:w="1176"/>
        <w:gridCol w:w="960"/>
        <w:gridCol w:w="850"/>
        <w:gridCol w:w="1124"/>
      </w:tblGrid>
      <w:tr w:rsidR="00761F90" w:rsidRPr="00414A99" w:rsidTr="00761F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031AB3" w:rsidRDefault="00761F90" w:rsidP="00761F90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eastAsia="sk-SK"/>
              </w:rPr>
              <w:t xml:space="preserve">Hlavná činnosť </w:t>
            </w:r>
          </w:p>
        </w:tc>
        <w:tc>
          <w:tcPr>
            <w:tcW w:w="1257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Hospodársky výsledok 2015</w:t>
            </w:r>
          </w:p>
        </w:tc>
        <w:tc>
          <w:tcPr>
            <w:tcW w:w="1134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Hospodársky výsledok 2016</w:t>
            </w:r>
          </w:p>
        </w:tc>
        <w:tc>
          <w:tcPr>
            <w:tcW w:w="1134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Hospodársky výsledok 2017</w:t>
            </w:r>
          </w:p>
        </w:tc>
        <w:tc>
          <w:tcPr>
            <w:tcW w:w="1176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Hospodársky výsledok 2018</w:t>
            </w:r>
          </w:p>
        </w:tc>
        <w:tc>
          <w:tcPr>
            <w:tcW w:w="960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Náklady 2019</w:t>
            </w:r>
          </w:p>
        </w:tc>
        <w:tc>
          <w:tcPr>
            <w:tcW w:w="850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Výnosy 2019</w:t>
            </w:r>
          </w:p>
        </w:tc>
        <w:tc>
          <w:tcPr>
            <w:tcW w:w="1124" w:type="dxa"/>
            <w:hideMark/>
          </w:tcPr>
          <w:p w:rsidR="00761F90" w:rsidRPr="00761F90" w:rsidRDefault="00761F90" w:rsidP="00761F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Cs w:val="0"/>
                <w:color w:val="000000"/>
                <w:sz w:val="16"/>
                <w:szCs w:val="16"/>
              </w:rPr>
              <w:t>Hospodársky výsledok 2019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stredisko Správa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16,54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109,23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-648,80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-758,03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174 803,87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174 803,87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1F90" w:rsidRPr="00414A99" w:rsidTr="00761F9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stredisko Dom smútku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190,20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7,33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18,98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11,65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71 859,30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71 859,30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stredisko Verejné osvetlenie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386,57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5 596,74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735,22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-4 861,52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114 643,98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114 763,94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119,96</w:t>
            </w:r>
          </w:p>
        </w:tc>
      </w:tr>
      <w:tr w:rsidR="00761F90" w:rsidRPr="00414A99" w:rsidTr="00761F9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stredisko Čistenie a údržba MK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57,27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11 590,38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864,00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-10 726,38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681 741,82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687 802,78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6 060,96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stredisko Futbalový štadión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45,86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182,10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7,75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-174,35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44 895,41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44 895,41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1F90" w:rsidRPr="00414A99" w:rsidTr="00761F9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stredisko Detské ihriská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35 995,99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35 995,99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031AB3" w:rsidRDefault="00761F90" w:rsidP="00761F90">
            <w:pPr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696,44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17 485,78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977,15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-16 508,63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1 123 940,37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1 130 121,29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6 180,92</w:t>
            </w:r>
          </w:p>
        </w:tc>
      </w:tr>
      <w:tr w:rsidR="00761F90" w:rsidRPr="00414A99" w:rsidTr="00761F90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031AB3" w:rsidRDefault="00761F90" w:rsidP="00761F90">
            <w:pPr>
              <w:rPr>
                <w:rFonts w:ascii="Times New Roman" w:eastAsia="Times New Roman" w:hAnsi="Times New Roman" w:cs="Times New Roman"/>
                <w:bCs w:val="0"/>
                <w:i/>
                <w:color w:val="000000"/>
                <w:sz w:val="20"/>
                <w:szCs w:val="20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i/>
                <w:color w:val="000000"/>
                <w:sz w:val="20"/>
                <w:szCs w:val="20"/>
                <w:lang w:eastAsia="sk-SK"/>
              </w:rPr>
              <w:t xml:space="preserve">Podnikateľská činnosť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stredisko Parkoviská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30,85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442,87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-586,91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412,02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1F90" w:rsidRPr="00414A99" w:rsidTr="00761F9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stredisko Cintoríny a pohrebné služby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6 552,72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133,36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549,50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549,50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87 533,79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87 547,09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13,30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414A99" w:rsidRDefault="00761F90" w:rsidP="00761F9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414A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stredisko Futbalové ihrisko s umelým trávnatým povrchom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20 341,57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20 517,60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176,03</w:t>
            </w:r>
          </w:p>
        </w:tc>
      </w:tr>
      <w:tr w:rsidR="00761F90" w:rsidRPr="00414A99" w:rsidTr="00761F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031AB3" w:rsidRDefault="00761F90" w:rsidP="00761F90">
            <w:pPr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6 583,57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576,23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-37,41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961,52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107 875,36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108 064,69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189,33</w:t>
            </w:r>
          </w:p>
        </w:tc>
      </w:tr>
      <w:tr w:rsidR="00761F90" w:rsidRPr="00414A99" w:rsidTr="00761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dxa"/>
            <w:hideMark/>
          </w:tcPr>
          <w:p w:rsidR="00761F90" w:rsidRPr="00031AB3" w:rsidRDefault="00761F90" w:rsidP="00761F90">
            <w:pPr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20"/>
                <w:szCs w:val="20"/>
                <w:lang w:eastAsia="sk-SK"/>
              </w:rPr>
              <w:t>SPOLU HČ  + PČ</w:t>
            </w:r>
          </w:p>
        </w:tc>
        <w:tc>
          <w:tcPr>
            <w:tcW w:w="1257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7 280,01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18 062,01</w:t>
            </w:r>
          </w:p>
        </w:tc>
        <w:tc>
          <w:tcPr>
            <w:tcW w:w="113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939,74</w:t>
            </w:r>
          </w:p>
        </w:tc>
        <w:tc>
          <w:tcPr>
            <w:tcW w:w="1176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-15 547,11</w:t>
            </w:r>
          </w:p>
        </w:tc>
        <w:tc>
          <w:tcPr>
            <w:tcW w:w="96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1 231 815,73</w:t>
            </w:r>
          </w:p>
        </w:tc>
        <w:tc>
          <w:tcPr>
            <w:tcW w:w="850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1 238 185,98</w:t>
            </w:r>
          </w:p>
        </w:tc>
        <w:tc>
          <w:tcPr>
            <w:tcW w:w="1124" w:type="dxa"/>
            <w:noWrap/>
            <w:vAlign w:val="bottom"/>
            <w:hideMark/>
          </w:tcPr>
          <w:p w:rsidR="00761F90" w:rsidRPr="00761F90" w:rsidRDefault="00761F90" w:rsidP="00761F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1F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6 370,25</w:t>
            </w:r>
          </w:p>
        </w:tc>
      </w:tr>
    </w:tbl>
    <w:p w:rsidR="00414A99" w:rsidRDefault="00414A99" w:rsidP="00E07C67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1B730E" w:rsidRDefault="001B730E" w:rsidP="00E07C67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Mesto poskytlo kapitálový transfer vo výške </w:t>
      </w:r>
      <w:r w:rsidR="00761F90">
        <w:rPr>
          <w:sz w:val="22"/>
          <w:szCs w:val="22"/>
        </w:rPr>
        <w:t xml:space="preserve">161.788,34€ (r.2018 </w:t>
      </w:r>
      <w:r w:rsidR="00097072">
        <w:rPr>
          <w:sz w:val="22"/>
          <w:szCs w:val="22"/>
        </w:rPr>
        <w:t>47.590,03€</w:t>
      </w:r>
      <w:r w:rsidR="00761F90">
        <w:rPr>
          <w:sz w:val="22"/>
          <w:szCs w:val="22"/>
        </w:rPr>
        <w:t xml:space="preserve">, </w:t>
      </w:r>
      <w:r w:rsidR="00097072">
        <w:rPr>
          <w:sz w:val="22"/>
          <w:szCs w:val="22"/>
        </w:rPr>
        <w:t xml:space="preserve">r.2017 </w:t>
      </w:r>
      <w:r w:rsidR="008A05F4" w:rsidRPr="000750E4">
        <w:rPr>
          <w:sz w:val="22"/>
          <w:szCs w:val="22"/>
        </w:rPr>
        <w:t>171</w:t>
      </w:r>
      <w:r w:rsidR="00097072">
        <w:rPr>
          <w:sz w:val="22"/>
          <w:szCs w:val="22"/>
        </w:rPr>
        <w:t>.735,71€, r.</w:t>
      </w:r>
      <w:r w:rsidR="008A05F4" w:rsidRPr="000750E4">
        <w:rPr>
          <w:sz w:val="22"/>
          <w:szCs w:val="22"/>
        </w:rPr>
        <w:t xml:space="preserve">2016 </w:t>
      </w:r>
      <w:r w:rsidRPr="000750E4">
        <w:rPr>
          <w:sz w:val="22"/>
          <w:szCs w:val="22"/>
        </w:rPr>
        <w:t>254.381,14€</w:t>
      </w:r>
      <w:r w:rsidR="008A05F4" w:rsidRPr="000750E4">
        <w:rPr>
          <w:sz w:val="22"/>
          <w:szCs w:val="22"/>
        </w:rPr>
        <w:t>)</w:t>
      </w:r>
      <w:r w:rsidRPr="000750E4">
        <w:rPr>
          <w:sz w:val="22"/>
          <w:szCs w:val="22"/>
        </w:rPr>
        <w:t xml:space="preserve"> na akcie z Rozvojového programu mesta a obstaranie hmotného investičného majetku.  Z vlastných </w:t>
      </w:r>
      <w:r w:rsidR="00E87D12" w:rsidRPr="000750E4">
        <w:rPr>
          <w:sz w:val="22"/>
          <w:szCs w:val="22"/>
        </w:rPr>
        <w:t xml:space="preserve">zdrojov organizácie </w:t>
      </w:r>
      <w:r w:rsidR="002E5052">
        <w:rPr>
          <w:sz w:val="22"/>
          <w:szCs w:val="22"/>
        </w:rPr>
        <w:t>ne</w:t>
      </w:r>
      <w:r w:rsidRPr="000750E4">
        <w:rPr>
          <w:sz w:val="22"/>
          <w:szCs w:val="22"/>
        </w:rPr>
        <w:t>b</w:t>
      </w:r>
      <w:r w:rsidR="00E87D12" w:rsidRPr="000750E4">
        <w:rPr>
          <w:sz w:val="22"/>
          <w:szCs w:val="22"/>
        </w:rPr>
        <w:t>o</w:t>
      </w:r>
      <w:r w:rsidRPr="000750E4">
        <w:rPr>
          <w:sz w:val="22"/>
          <w:szCs w:val="22"/>
        </w:rPr>
        <w:t>l</w:t>
      </w:r>
      <w:r w:rsidR="00E87D12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 xml:space="preserve">zakúpený majetok </w:t>
      </w:r>
      <w:r w:rsidR="002E5052">
        <w:rPr>
          <w:sz w:val="22"/>
          <w:szCs w:val="22"/>
        </w:rPr>
        <w:t xml:space="preserve">(r.2017 6.319,49€, </w:t>
      </w:r>
      <w:r w:rsidR="008A05F4" w:rsidRPr="000750E4">
        <w:rPr>
          <w:sz w:val="22"/>
          <w:szCs w:val="22"/>
        </w:rPr>
        <w:t xml:space="preserve">r. 2016 </w:t>
      </w:r>
      <w:r w:rsidRPr="000750E4">
        <w:rPr>
          <w:sz w:val="22"/>
          <w:szCs w:val="22"/>
        </w:rPr>
        <w:t>20</w:t>
      </w:r>
      <w:r w:rsidR="00E87D12" w:rsidRPr="000750E4">
        <w:rPr>
          <w:sz w:val="22"/>
          <w:szCs w:val="22"/>
        </w:rPr>
        <w:t>.</w:t>
      </w:r>
      <w:r w:rsidRPr="000750E4">
        <w:rPr>
          <w:sz w:val="22"/>
          <w:szCs w:val="22"/>
        </w:rPr>
        <w:t>290,10€</w:t>
      </w:r>
      <w:r w:rsidR="008A05F4" w:rsidRPr="000750E4">
        <w:rPr>
          <w:sz w:val="22"/>
          <w:szCs w:val="22"/>
        </w:rPr>
        <w:t>)</w:t>
      </w:r>
      <w:r w:rsidRPr="000750E4">
        <w:rPr>
          <w:sz w:val="22"/>
          <w:szCs w:val="22"/>
        </w:rPr>
        <w:t xml:space="preserve">. Príspevková organizácia vykonáva so súhlasom zriaďovateľa podnikateľskú činnosť nad rámec hlavnej činnosti, pre ktorú bola zriadená. </w:t>
      </w:r>
      <w:r w:rsidR="008A05F4" w:rsidRPr="000750E4">
        <w:rPr>
          <w:sz w:val="22"/>
          <w:szCs w:val="22"/>
        </w:rPr>
        <w:t xml:space="preserve">Z príjmov podnikateľskej činnosti sú </w:t>
      </w:r>
      <w:r w:rsidR="00290D51" w:rsidRPr="000750E4">
        <w:rPr>
          <w:sz w:val="22"/>
          <w:szCs w:val="22"/>
        </w:rPr>
        <w:t xml:space="preserve">primárne </w:t>
      </w:r>
      <w:r w:rsidR="008A05F4" w:rsidRPr="000750E4">
        <w:rPr>
          <w:sz w:val="22"/>
          <w:szCs w:val="22"/>
        </w:rPr>
        <w:t>hradené výdavky – náklady na vyko</w:t>
      </w:r>
      <w:r w:rsidR="00290D51" w:rsidRPr="000750E4">
        <w:rPr>
          <w:sz w:val="22"/>
          <w:szCs w:val="22"/>
        </w:rPr>
        <w:t>návanie podnikateľskej činnosti. Ziskom s podnikateľskej činnosti sa vykrýva strata</w:t>
      </w:r>
      <w:r w:rsidRPr="000750E4">
        <w:rPr>
          <w:sz w:val="22"/>
          <w:szCs w:val="22"/>
        </w:rPr>
        <w:t xml:space="preserve"> z hospodárenia z vlastnej činnosti. Prostriedky získané z rozdielu medzi výnosmi a nákladmi podnikateľskej činností </w:t>
      </w:r>
      <w:r w:rsidR="00122D16" w:rsidRPr="000750E4">
        <w:rPr>
          <w:sz w:val="22"/>
          <w:szCs w:val="22"/>
        </w:rPr>
        <w:t xml:space="preserve">a príjmami a výdavkami z hlavnej činnosti </w:t>
      </w:r>
      <w:r w:rsidR="00290D51" w:rsidRPr="000750E4">
        <w:rPr>
          <w:sz w:val="22"/>
          <w:szCs w:val="22"/>
        </w:rPr>
        <w:t xml:space="preserve">sa </w:t>
      </w:r>
      <w:r w:rsidR="00122D16" w:rsidRPr="000750E4">
        <w:rPr>
          <w:sz w:val="22"/>
          <w:szCs w:val="22"/>
        </w:rPr>
        <w:t>zúčtuj</w:t>
      </w:r>
      <w:r w:rsidR="00290D51" w:rsidRPr="000750E4">
        <w:rPr>
          <w:sz w:val="22"/>
          <w:szCs w:val="22"/>
        </w:rPr>
        <w:t>ú</w:t>
      </w:r>
      <w:r w:rsidR="00122D16" w:rsidRPr="000750E4">
        <w:rPr>
          <w:sz w:val="22"/>
          <w:szCs w:val="22"/>
        </w:rPr>
        <w:t xml:space="preserve"> do rezervného fondu. </w:t>
      </w:r>
    </w:p>
    <w:p w:rsidR="005D1209" w:rsidRDefault="005D1209" w:rsidP="00E07C67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5D1209" w:rsidRDefault="005D1209" w:rsidP="00E07C67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5D1209" w:rsidRPr="00DD26F9" w:rsidRDefault="005D1209" w:rsidP="005D1209">
      <w:pPr>
        <w:pStyle w:val="Default"/>
        <w:jc w:val="both"/>
        <w:rPr>
          <w:iCs/>
          <w:sz w:val="18"/>
          <w:szCs w:val="18"/>
        </w:rPr>
      </w:pPr>
      <w:r w:rsidRPr="005D1209">
        <w:rPr>
          <w:sz w:val="22"/>
          <w:szCs w:val="22"/>
        </w:rPr>
        <w:lastRenderedPageBreak/>
        <w:t>Vybrané ukazovatele hospodárenia spoločnosti</w:t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>
        <w:rPr>
          <w:iCs/>
          <w:sz w:val="18"/>
          <w:szCs w:val="18"/>
        </w:rPr>
        <w:tab/>
      </w:r>
      <w:r w:rsidRPr="005D1209">
        <w:rPr>
          <w:iCs/>
          <w:sz w:val="18"/>
          <w:szCs w:val="18"/>
        </w:rPr>
        <w:t xml:space="preserve"> </w:t>
      </w:r>
      <w:proofErr w:type="spellStart"/>
      <w:r w:rsidRPr="00DD26F9">
        <w:rPr>
          <w:iCs/>
          <w:sz w:val="18"/>
          <w:szCs w:val="18"/>
        </w:rPr>
        <w:t>tab.č</w:t>
      </w:r>
      <w:proofErr w:type="spellEnd"/>
      <w:r w:rsidRPr="00DD26F9">
        <w:rPr>
          <w:iCs/>
          <w:sz w:val="18"/>
          <w:szCs w:val="18"/>
        </w:rPr>
        <w:t>. 1</w:t>
      </w:r>
      <w:r>
        <w:rPr>
          <w:iCs/>
          <w:sz w:val="18"/>
          <w:szCs w:val="18"/>
        </w:rPr>
        <w:t>6</w:t>
      </w:r>
    </w:p>
    <w:p w:rsidR="005D1209" w:rsidRPr="005D1209" w:rsidRDefault="005D1209" w:rsidP="00E07C67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</w:p>
    <w:tbl>
      <w:tblPr>
        <w:tblStyle w:val="Obyajntabuka1"/>
        <w:tblW w:w="8926" w:type="dxa"/>
        <w:tblLook w:val="04A0" w:firstRow="1" w:lastRow="0" w:firstColumn="1" w:lastColumn="0" w:noHBand="0" w:noVBand="1"/>
      </w:tblPr>
      <w:tblGrid>
        <w:gridCol w:w="4248"/>
        <w:gridCol w:w="1134"/>
        <w:gridCol w:w="1134"/>
        <w:gridCol w:w="1134"/>
        <w:gridCol w:w="1276"/>
      </w:tblGrid>
      <w:tr w:rsidR="005D1209" w:rsidRPr="00982947" w:rsidTr="005D1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hideMark/>
          </w:tcPr>
          <w:p w:rsidR="005D1209" w:rsidRPr="005D1209" w:rsidRDefault="005D1209" w:rsidP="009641BB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sk-SK"/>
              </w:rPr>
            </w:pPr>
            <w:r w:rsidRPr="005D1209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sk-SK"/>
              </w:rPr>
              <w:t>VPS _ ukazovatele</w:t>
            </w:r>
          </w:p>
        </w:tc>
        <w:tc>
          <w:tcPr>
            <w:tcW w:w="1134" w:type="dxa"/>
          </w:tcPr>
          <w:p w:rsidR="005D1209" w:rsidRPr="00031AB3" w:rsidRDefault="005D1209" w:rsidP="009641BB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2016</w:t>
            </w:r>
          </w:p>
        </w:tc>
        <w:tc>
          <w:tcPr>
            <w:tcW w:w="1134" w:type="dxa"/>
          </w:tcPr>
          <w:p w:rsidR="005D1209" w:rsidRPr="00031AB3" w:rsidRDefault="005D1209" w:rsidP="009641BB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2017</w:t>
            </w:r>
          </w:p>
        </w:tc>
        <w:tc>
          <w:tcPr>
            <w:tcW w:w="1134" w:type="dxa"/>
          </w:tcPr>
          <w:p w:rsidR="005D1209" w:rsidRPr="00031AB3" w:rsidRDefault="005D1209" w:rsidP="009641BB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276" w:type="dxa"/>
          </w:tcPr>
          <w:p w:rsidR="005D1209" w:rsidRPr="00031AB3" w:rsidRDefault="005D1209" w:rsidP="009641BB">
            <w:pPr>
              <w:ind w:left="-1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031AB3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201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9</w:t>
            </w:r>
          </w:p>
        </w:tc>
      </w:tr>
      <w:tr w:rsidR="005D1209" w:rsidRPr="00982947" w:rsidTr="005D1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hideMark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Hlavná činnosť (správa, dom smútku, verejné osvetlenie, čistenie a údržba MK, futbalový štadión, detské ihriská)_ náklady</w:t>
            </w:r>
            <w:r w:rsidRPr="005D12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1 001 016,15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1 361 254,23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1 411 183,97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1 123 940,37</w:t>
            </w:r>
          </w:p>
        </w:tc>
      </w:tr>
      <w:tr w:rsidR="005D1209" w:rsidRPr="00982947" w:rsidTr="005D1209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 w:val="0"/>
                <w:sz w:val="20"/>
                <w:szCs w:val="20"/>
              </w:rPr>
              <w:t>Hlavná činnosť _ výnosy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1 018 501,93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1 362 880,18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1 411 822,29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1 130 121,29</w:t>
            </w:r>
          </w:p>
        </w:tc>
      </w:tr>
      <w:tr w:rsidR="005D1209" w:rsidRPr="00982947" w:rsidTr="005D1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Podnikateľská činnosť (cintoríny a pohrebné služby, futbalové ihrisko s umelým trávnikom) _ náklady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80 817,44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73 507,53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98 006,37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107 875,36</w:t>
            </w:r>
          </w:p>
        </w:tc>
      </w:tr>
      <w:tr w:rsidR="005D1209" w:rsidRPr="00982947" w:rsidTr="005D1209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Podnikateľská činnosť _ výnosy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81 393,67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74 057,03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98 038,78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108 064,69</w:t>
            </w:r>
          </w:p>
        </w:tc>
      </w:tr>
      <w:tr w:rsidR="005D1209" w:rsidRPr="00982947" w:rsidTr="005D1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  <w:t>Hospodársky výsledok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18 062,01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2 175,45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670,73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6 370,25</w:t>
            </w:r>
          </w:p>
        </w:tc>
      </w:tr>
      <w:tr w:rsidR="005D1209" w:rsidRPr="00982947" w:rsidTr="005D120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  <w:t>Stav pracovníkov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41,27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45,66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50,51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48,31</w:t>
            </w:r>
          </w:p>
        </w:tc>
      </w:tr>
      <w:tr w:rsidR="005D1209" w:rsidRPr="00982947" w:rsidTr="005D1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  <w:t>Priemerná mzda bez dohôd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685,48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697,31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677,79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823,61</w:t>
            </w:r>
          </w:p>
        </w:tc>
      </w:tr>
      <w:tr w:rsidR="005D1209" w:rsidRPr="00982947" w:rsidTr="005D1209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  <w:t>Kapitálový transfer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254 381,14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171 735,71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47 590,03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161 788,34</w:t>
            </w:r>
          </w:p>
        </w:tc>
      </w:tr>
      <w:tr w:rsidR="005D1209" w:rsidRPr="00982947" w:rsidTr="005D1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i/>
                <w:sz w:val="20"/>
                <w:szCs w:val="20"/>
              </w:rPr>
              <w:t>Príspevok na činnosť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678 781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699 243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756 759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881 057</w:t>
            </w:r>
          </w:p>
        </w:tc>
      </w:tr>
      <w:tr w:rsidR="005D1209" w:rsidRPr="00982947" w:rsidTr="005D1209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:rsidR="005D1209" w:rsidRPr="005D1209" w:rsidRDefault="005D1209" w:rsidP="005D1209">
            <w:pPr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</w:pPr>
            <w:r w:rsidRPr="005D1209">
              <w:rPr>
                <w:rFonts w:ascii="Times New Roman" w:hAnsi="Times New Roman" w:cs="Times New Roman"/>
                <w:bCs w:val="0"/>
                <w:i/>
                <w:sz w:val="20"/>
                <w:szCs w:val="20"/>
              </w:rPr>
              <w:t>Príspevok na údržbu komunikácií RPM tab. č. 6</w:t>
            </w:r>
          </w:p>
          <w:p w:rsidR="005D1209" w:rsidRPr="005D1209" w:rsidRDefault="005D1209" w:rsidP="005D12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280 340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620 000</w:t>
            </w:r>
          </w:p>
        </w:tc>
        <w:tc>
          <w:tcPr>
            <w:tcW w:w="1134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513 061</w:t>
            </w:r>
          </w:p>
        </w:tc>
        <w:tc>
          <w:tcPr>
            <w:tcW w:w="1276" w:type="dxa"/>
            <w:vAlign w:val="bottom"/>
          </w:tcPr>
          <w:p w:rsidR="005D1209" w:rsidRPr="005D1209" w:rsidRDefault="005D1209" w:rsidP="005D12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1209">
              <w:rPr>
                <w:rFonts w:ascii="Times New Roman" w:hAnsi="Times New Roman" w:cs="Times New Roman"/>
                <w:sz w:val="16"/>
                <w:szCs w:val="16"/>
              </w:rPr>
              <w:t>100 000</w:t>
            </w:r>
          </w:p>
        </w:tc>
      </w:tr>
    </w:tbl>
    <w:p w:rsidR="006D29AA" w:rsidRDefault="006D29AA" w:rsidP="00E07C67">
      <w:pPr>
        <w:pStyle w:val="Default"/>
        <w:spacing w:line="276" w:lineRule="auto"/>
        <w:ind w:firstLine="708"/>
        <w:jc w:val="both"/>
        <w:rPr>
          <w:rFonts w:eastAsia="Times New Roman"/>
          <w:sz w:val="22"/>
          <w:szCs w:val="22"/>
          <w:lang w:eastAsia="sk-SK"/>
        </w:rPr>
      </w:pPr>
    </w:p>
    <w:p w:rsidR="008E6B7D" w:rsidRPr="000750E4" w:rsidRDefault="00A54BC0" w:rsidP="00E07C67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 xml:space="preserve">V zmysle ustanovení § 21 ods. 2 zákona č. 523/2004 Z.z. o rozpočtových pravidlách verejnej správy </w:t>
      </w:r>
      <w:r w:rsidR="00F22A3A" w:rsidRPr="000750E4">
        <w:rPr>
          <w:sz w:val="22"/>
          <w:szCs w:val="22"/>
        </w:rPr>
        <w:t xml:space="preserve">je príspevková organizácia, </w:t>
      </w:r>
      <w:r w:rsidRPr="000750E4">
        <w:rPr>
          <w:sz w:val="22"/>
          <w:szCs w:val="22"/>
        </w:rPr>
        <w:t>právnická osoba mesta, ktorej menej ako 50 % výrobných nákladov je pokrytých tržbami a ktorá je na rozp</w:t>
      </w:r>
      <w:r w:rsidR="00792F39" w:rsidRPr="000750E4">
        <w:rPr>
          <w:sz w:val="22"/>
          <w:szCs w:val="22"/>
        </w:rPr>
        <w:t xml:space="preserve">očet mesta napojená príspevkom. </w:t>
      </w:r>
      <w:r w:rsidRPr="00344B65">
        <w:rPr>
          <w:b/>
          <w:sz w:val="22"/>
          <w:szCs w:val="22"/>
        </w:rPr>
        <w:t>Na základe údajov získaných</w:t>
      </w:r>
      <w:r w:rsidR="002F654E">
        <w:rPr>
          <w:b/>
          <w:sz w:val="22"/>
          <w:szCs w:val="22"/>
        </w:rPr>
        <w:t xml:space="preserve"> z „Výkazu ziskov a strát k 31.12.</w:t>
      </w:r>
      <w:r w:rsidRPr="00344B65">
        <w:rPr>
          <w:b/>
          <w:sz w:val="22"/>
          <w:szCs w:val="22"/>
        </w:rPr>
        <w:t>201</w:t>
      </w:r>
      <w:r w:rsidR="00761F90">
        <w:rPr>
          <w:b/>
          <w:sz w:val="22"/>
          <w:szCs w:val="22"/>
        </w:rPr>
        <w:t>9</w:t>
      </w:r>
      <w:r w:rsidRPr="00344B65">
        <w:rPr>
          <w:b/>
          <w:sz w:val="22"/>
          <w:szCs w:val="22"/>
        </w:rPr>
        <w:t>“</w:t>
      </w:r>
      <w:r w:rsidRPr="000750E4">
        <w:rPr>
          <w:b/>
          <w:sz w:val="22"/>
          <w:szCs w:val="22"/>
        </w:rPr>
        <w:t xml:space="preserve"> </w:t>
      </w:r>
      <w:r w:rsidR="00D3047B" w:rsidRPr="000750E4">
        <w:rPr>
          <w:b/>
          <w:sz w:val="22"/>
          <w:szCs w:val="22"/>
        </w:rPr>
        <w:t>je možné konštatovať</w:t>
      </w:r>
      <w:r w:rsidRPr="000750E4">
        <w:rPr>
          <w:b/>
          <w:sz w:val="22"/>
          <w:szCs w:val="22"/>
        </w:rPr>
        <w:t>, že príspevkov</w:t>
      </w:r>
      <w:r w:rsidR="00C64ECC" w:rsidRPr="000750E4">
        <w:rPr>
          <w:b/>
          <w:sz w:val="22"/>
          <w:szCs w:val="22"/>
        </w:rPr>
        <w:t>á</w:t>
      </w:r>
      <w:r w:rsidRPr="000750E4">
        <w:rPr>
          <w:b/>
          <w:sz w:val="22"/>
          <w:szCs w:val="22"/>
        </w:rPr>
        <w:t xml:space="preserve"> organizáci</w:t>
      </w:r>
      <w:r w:rsidR="00C64ECC" w:rsidRPr="000750E4">
        <w:rPr>
          <w:b/>
          <w:sz w:val="22"/>
          <w:szCs w:val="22"/>
        </w:rPr>
        <w:t>a</w:t>
      </w:r>
      <w:r w:rsidRPr="000750E4">
        <w:rPr>
          <w:b/>
          <w:sz w:val="22"/>
          <w:szCs w:val="22"/>
        </w:rPr>
        <w:t xml:space="preserve"> spĺňa</w:t>
      </w:r>
      <w:r w:rsidR="00C64ECC" w:rsidRPr="000750E4">
        <w:rPr>
          <w:b/>
          <w:sz w:val="22"/>
          <w:szCs w:val="22"/>
        </w:rPr>
        <w:t xml:space="preserve"> </w:t>
      </w:r>
      <w:r w:rsidRPr="000750E4">
        <w:rPr>
          <w:b/>
          <w:sz w:val="22"/>
          <w:szCs w:val="22"/>
        </w:rPr>
        <w:t xml:space="preserve">uvedené kritérium, </w:t>
      </w:r>
      <w:r w:rsidR="00B47122" w:rsidRPr="000750E4">
        <w:rPr>
          <w:b/>
          <w:sz w:val="22"/>
          <w:szCs w:val="22"/>
        </w:rPr>
        <w:t>pretože</w:t>
      </w:r>
      <w:r w:rsidR="00593641">
        <w:rPr>
          <w:b/>
          <w:sz w:val="22"/>
          <w:szCs w:val="22"/>
        </w:rPr>
        <w:t xml:space="preserve"> vykazovala hodnoty v</w:t>
      </w:r>
      <w:r w:rsidR="000C5CD4">
        <w:rPr>
          <w:b/>
          <w:sz w:val="22"/>
          <w:szCs w:val="22"/>
        </w:rPr>
        <w:t xml:space="preserve"> 9,60% (r.2018 6,49%, </w:t>
      </w:r>
      <w:r w:rsidR="002E5052">
        <w:rPr>
          <w:b/>
          <w:sz w:val="22"/>
          <w:szCs w:val="22"/>
        </w:rPr>
        <w:t>r.2017 5,</w:t>
      </w:r>
      <w:r w:rsidR="00593641">
        <w:rPr>
          <w:b/>
          <w:sz w:val="22"/>
          <w:szCs w:val="22"/>
        </w:rPr>
        <w:t>12</w:t>
      </w:r>
      <w:r w:rsidR="002E5052">
        <w:rPr>
          <w:b/>
          <w:sz w:val="22"/>
          <w:szCs w:val="22"/>
        </w:rPr>
        <w:t xml:space="preserve">%, </w:t>
      </w:r>
      <w:r w:rsidR="00290D51" w:rsidRPr="000750E4">
        <w:rPr>
          <w:b/>
          <w:sz w:val="22"/>
          <w:szCs w:val="22"/>
        </w:rPr>
        <w:t xml:space="preserve">r. 2016 </w:t>
      </w:r>
      <w:r w:rsidR="00792F39" w:rsidRPr="000750E4">
        <w:rPr>
          <w:b/>
          <w:sz w:val="22"/>
          <w:szCs w:val="22"/>
        </w:rPr>
        <w:t>7,</w:t>
      </w:r>
      <w:r w:rsidR="00593641">
        <w:rPr>
          <w:b/>
          <w:sz w:val="22"/>
          <w:szCs w:val="22"/>
        </w:rPr>
        <w:t>35</w:t>
      </w:r>
      <w:r w:rsidR="00792F39" w:rsidRPr="000750E4">
        <w:rPr>
          <w:b/>
          <w:sz w:val="22"/>
          <w:szCs w:val="22"/>
        </w:rPr>
        <w:t>%</w:t>
      </w:r>
      <w:r w:rsidR="00593641">
        <w:rPr>
          <w:b/>
          <w:sz w:val="22"/>
          <w:szCs w:val="22"/>
        </w:rPr>
        <w:t xml:space="preserve">) </w:t>
      </w:r>
      <w:r w:rsidRPr="000750E4">
        <w:rPr>
          <w:b/>
          <w:sz w:val="22"/>
          <w:szCs w:val="22"/>
        </w:rPr>
        <w:t>výrobných nákladov je pokrytých tržbami.</w:t>
      </w:r>
      <w:r w:rsidR="008E6B7D" w:rsidRPr="000750E4">
        <w:rPr>
          <w:b/>
          <w:sz w:val="22"/>
          <w:szCs w:val="22"/>
        </w:rPr>
        <w:t xml:space="preserve"> </w:t>
      </w:r>
    </w:p>
    <w:p w:rsidR="00A54BC0" w:rsidRPr="000750E4" w:rsidRDefault="00A54BC0" w:rsidP="00E07C67">
      <w:pPr>
        <w:pStyle w:val="Default"/>
        <w:spacing w:line="276" w:lineRule="auto"/>
        <w:jc w:val="both"/>
        <w:rPr>
          <w:b/>
          <w:iCs/>
          <w:smallCaps/>
          <w:sz w:val="22"/>
          <w:szCs w:val="22"/>
        </w:rPr>
      </w:pPr>
    </w:p>
    <w:p w:rsidR="001B730E" w:rsidRPr="000750E4" w:rsidRDefault="003B4C40" w:rsidP="00E07C67">
      <w:pPr>
        <w:pStyle w:val="Default"/>
        <w:spacing w:line="276" w:lineRule="auto"/>
        <w:jc w:val="both"/>
        <w:rPr>
          <w:rFonts w:eastAsia="Times New Roman"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tab/>
      </w:r>
      <w:r w:rsidR="00893D64" w:rsidRPr="000750E4">
        <w:rPr>
          <w:rFonts w:eastAsia="Times New Roman"/>
          <w:sz w:val="22"/>
          <w:szCs w:val="22"/>
          <w:lang w:eastAsia="sk-SK"/>
        </w:rPr>
        <w:t xml:space="preserve">Organizácia mala </w:t>
      </w:r>
      <w:r w:rsidR="00893D64" w:rsidRPr="000750E4">
        <w:rPr>
          <w:rFonts w:eastAsia="Times New Roman"/>
          <w:b/>
          <w:sz w:val="22"/>
          <w:szCs w:val="22"/>
          <w:lang w:eastAsia="sk-SK"/>
        </w:rPr>
        <w:t xml:space="preserve">uložených </w:t>
      </w:r>
      <w:r w:rsidR="000C5CD4">
        <w:rPr>
          <w:rFonts w:eastAsia="Times New Roman"/>
          <w:b/>
          <w:sz w:val="22"/>
          <w:szCs w:val="22"/>
          <w:lang w:eastAsia="sk-SK"/>
        </w:rPr>
        <w:t>7</w:t>
      </w:r>
      <w:r w:rsidR="006D29AA" w:rsidRPr="000750E4">
        <w:rPr>
          <w:rFonts w:eastAsia="Times New Roman"/>
          <w:b/>
          <w:sz w:val="22"/>
          <w:szCs w:val="22"/>
          <w:lang w:eastAsia="sk-SK"/>
        </w:rPr>
        <w:t xml:space="preserve"> opatrení</w:t>
      </w:r>
      <w:r w:rsidR="008E6B7D" w:rsidRPr="000750E4">
        <w:rPr>
          <w:rFonts w:eastAsia="Times New Roman"/>
          <w:sz w:val="22"/>
          <w:szCs w:val="22"/>
          <w:lang w:eastAsia="sk-SK"/>
        </w:rPr>
        <w:t xml:space="preserve">, s ktorými pracovala, </w:t>
      </w:r>
      <w:r w:rsidR="008E6B7D" w:rsidRPr="00FB50ED">
        <w:rPr>
          <w:rFonts w:eastAsia="Times New Roman"/>
          <w:sz w:val="22"/>
          <w:szCs w:val="22"/>
          <w:lang w:eastAsia="sk-SK"/>
        </w:rPr>
        <w:t xml:space="preserve">v platnosti naďalej </w:t>
      </w:r>
      <w:r w:rsidR="006D7C38" w:rsidRPr="00FB50ED">
        <w:rPr>
          <w:rFonts w:eastAsia="Times New Roman"/>
          <w:sz w:val="22"/>
          <w:szCs w:val="22"/>
          <w:lang w:eastAsia="sk-SK"/>
        </w:rPr>
        <w:t>ostáva  opatrení</w:t>
      </w:r>
      <w:r w:rsidR="008E6B7D" w:rsidRPr="00FB50ED">
        <w:rPr>
          <w:rFonts w:eastAsia="Times New Roman"/>
          <w:sz w:val="22"/>
          <w:szCs w:val="22"/>
          <w:lang w:eastAsia="sk-SK"/>
        </w:rPr>
        <w:t>,</w:t>
      </w:r>
      <w:r w:rsidR="008E6B7D" w:rsidRPr="000750E4">
        <w:rPr>
          <w:rFonts w:eastAsia="Times New Roman"/>
          <w:sz w:val="22"/>
          <w:szCs w:val="22"/>
          <w:lang w:eastAsia="sk-SK"/>
        </w:rPr>
        <w:t xml:space="preserve"> </w:t>
      </w:r>
      <w:r w:rsidR="00075C96" w:rsidRPr="000750E4">
        <w:rPr>
          <w:rFonts w:eastAsia="Times New Roman"/>
          <w:sz w:val="22"/>
          <w:szCs w:val="22"/>
          <w:lang w:eastAsia="sk-SK"/>
        </w:rPr>
        <w:t xml:space="preserve">v rámci </w:t>
      </w:r>
      <w:r w:rsidR="00893D64" w:rsidRPr="000750E4">
        <w:rPr>
          <w:rFonts w:eastAsia="Times New Roman"/>
          <w:sz w:val="22"/>
          <w:szCs w:val="22"/>
          <w:lang w:eastAsia="sk-SK"/>
        </w:rPr>
        <w:t>ktorých</w:t>
      </w:r>
      <w:r w:rsidR="00075C96" w:rsidRPr="000750E4">
        <w:rPr>
          <w:rFonts w:eastAsia="Times New Roman"/>
          <w:sz w:val="22"/>
          <w:szCs w:val="22"/>
          <w:lang w:eastAsia="sk-SK"/>
        </w:rPr>
        <w:t xml:space="preserve"> </w:t>
      </w:r>
      <w:r w:rsidR="008E6B7D" w:rsidRPr="000750E4">
        <w:rPr>
          <w:rFonts w:eastAsia="Times New Roman"/>
          <w:sz w:val="22"/>
          <w:szCs w:val="22"/>
          <w:lang w:eastAsia="sk-SK"/>
        </w:rPr>
        <w:t xml:space="preserve">boli navrhnuté aj nové opatrenia. </w:t>
      </w:r>
      <w:r w:rsidR="00EE40EE" w:rsidRPr="000750E4">
        <w:rPr>
          <w:rFonts w:eastAsia="Times New Roman"/>
          <w:sz w:val="22"/>
          <w:szCs w:val="22"/>
          <w:lang w:eastAsia="sk-SK"/>
        </w:rPr>
        <w:t>Komplexný rozbor hospodárenia príspevkovej organizácie a návrh na smerovanie spoločnosti a riešenie hospodárnosti</w:t>
      </w:r>
      <w:r w:rsidR="00075C96" w:rsidRPr="000750E4">
        <w:rPr>
          <w:rFonts w:eastAsia="Times New Roman"/>
          <w:sz w:val="22"/>
          <w:szCs w:val="22"/>
          <w:lang w:eastAsia="sk-SK"/>
        </w:rPr>
        <w:t xml:space="preserve">, </w:t>
      </w:r>
      <w:r w:rsidR="00EE40EE" w:rsidRPr="000750E4">
        <w:rPr>
          <w:rFonts w:eastAsia="Times New Roman"/>
          <w:sz w:val="22"/>
          <w:szCs w:val="22"/>
          <w:lang w:eastAsia="sk-SK"/>
        </w:rPr>
        <w:t xml:space="preserve">efektívnosti vo vybraných oblastiach a činnostiach bol predmetom pracovného stretnutia členov </w:t>
      </w:r>
      <w:proofErr w:type="spellStart"/>
      <w:r w:rsidR="00EE40EE" w:rsidRPr="000750E4">
        <w:rPr>
          <w:rFonts w:eastAsia="Times New Roman"/>
          <w:sz w:val="22"/>
          <w:szCs w:val="22"/>
          <w:lang w:eastAsia="sk-SK"/>
        </w:rPr>
        <w:t>finančno</w:t>
      </w:r>
      <w:proofErr w:type="spellEnd"/>
      <w:r w:rsidR="00EE40EE" w:rsidRPr="000750E4">
        <w:rPr>
          <w:rFonts w:eastAsia="Times New Roman"/>
          <w:sz w:val="22"/>
          <w:szCs w:val="22"/>
          <w:lang w:eastAsia="sk-SK"/>
        </w:rPr>
        <w:t xml:space="preserve"> – ekonomickej komisie a vedenia mesta. </w:t>
      </w:r>
    </w:p>
    <w:p w:rsidR="00C64ECC" w:rsidRPr="000750E4" w:rsidRDefault="00C64ECC" w:rsidP="00E07C67">
      <w:pPr>
        <w:pStyle w:val="Default"/>
        <w:jc w:val="both"/>
        <w:rPr>
          <w:b/>
          <w:iCs/>
          <w:smallCaps/>
          <w:sz w:val="22"/>
          <w:szCs w:val="22"/>
        </w:rPr>
      </w:pPr>
      <w:r w:rsidRPr="000750E4">
        <w:rPr>
          <w:b/>
          <w:iCs/>
          <w:smallCaps/>
          <w:sz w:val="22"/>
          <w:szCs w:val="22"/>
        </w:rPr>
        <w:tab/>
      </w:r>
    </w:p>
    <w:p w:rsidR="001936DA" w:rsidRDefault="001936DA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Prehľad o poskytnutých dotáciách </w:t>
      </w:r>
    </w:p>
    <w:p w:rsidR="00B84960" w:rsidRDefault="00B84960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</w:p>
    <w:p w:rsidR="005C74BA" w:rsidRPr="000750E4" w:rsidRDefault="005C74BA" w:rsidP="00E07C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0750E4">
        <w:rPr>
          <w:rFonts w:ascii="Times New Roman" w:hAnsi="Times New Roman" w:cs="Times New Roman"/>
        </w:rPr>
        <w:t xml:space="preserve">Zákon o rozpočtových pravidlách územnej samosprávy (583/2004 Z.z.) ustanoveniami </w:t>
      </w:r>
      <w:r w:rsidRPr="000750E4">
        <w:rPr>
          <w:rFonts w:ascii="Times New Roman" w:hAnsi="Times New Roman" w:cs="Times New Roman"/>
          <w:color w:val="000000"/>
        </w:rPr>
        <w:t xml:space="preserve">uvedenými v § 7 ods. 4 umožňuje poskytovať dotácie okrem právnických osôb, ktorých je zakladateľom, aj právnickej osobe a fyzickej osobe – podnikateľovi, ktorí majú sídlo alebo trvalý pobyt na území obce alebo ktoré pôsobia, vykonávajú činnosť na území obce alebo poskytujú služby obyvateľom obce za podmienok ustanovených všeobecne záväzným nariadením. </w:t>
      </w:r>
    </w:p>
    <w:p w:rsidR="005C74BA" w:rsidRPr="000750E4" w:rsidRDefault="005C74BA" w:rsidP="00E07C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5C74BA" w:rsidRPr="000750E4" w:rsidRDefault="005C74BA" w:rsidP="00E07C67">
      <w:pPr>
        <w:pStyle w:val="Default"/>
        <w:spacing w:line="276" w:lineRule="auto"/>
        <w:ind w:firstLine="708"/>
        <w:jc w:val="both"/>
        <w:rPr>
          <w:b/>
          <w:iCs/>
          <w:smallCaps/>
          <w:sz w:val="22"/>
          <w:szCs w:val="22"/>
        </w:rPr>
      </w:pPr>
      <w:r w:rsidRPr="000750E4">
        <w:rPr>
          <w:sz w:val="22"/>
          <w:szCs w:val="22"/>
        </w:rPr>
        <w:t>Dotácie v roku 201</w:t>
      </w:r>
      <w:r w:rsidR="000C5CD4">
        <w:rPr>
          <w:sz w:val="22"/>
          <w:szCs w:val="22"/>
        </w:rPr>
        <w:t>9</w:t>
      </w:r>
      <w:r w:rsidR="005E0DEB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boli poskytnuté na základe platného Všeobecne záväzného nariadenia č. 44. Poskytnutie dotácie podlieha</w:t>
      </w:r>
      <w:r w:rsidR="00022A6E" w:rsidRPr="000750E4">
        <w:rPr>
          <w:sz w:val="22"/>
          <w:szCs w:val="22"/>
        </w:rPr>
        <w:t>lo</w:t>
      </w:r>
      <w:r w:rsidRPr="000750E4">
        <w:rPr>
          <w:sz w:val="22"/>
          <w:szCs w:val="22"/>
        </w:rPr>
        <w:t xml:space="preserve"> schvaľovaniu</w:t>
      </w:r>
      <w:r w:rsidR="00031AB3">
        <w:rPr>
          <w:sz w:val="22"/>
          <w:szCs w:val="22"/>
        </w:rPr>
        <w:t xml:space="preserve"> mestského zastupiteľstva a primátora</w:t>
      </w:r>
      <w:r w:rsidRPr="000750E4">
        <w:rPr>
          <w:sz w:val="22"/>
          <w:szCs w:val="22"/>
        </w:rPr>
        <w:t>. Dotácie vyčlenené v</w:t>
      </w:r>
      <w:r w:rsidR="000B5E67" w:rsidRPr="000750E4">
        <w:rPr>
          <w:sz w:val="22"/>
          <w:szCs w:val="22"/>
        </w:rPr>
        <w:t> </w:t>
      </w:r>
      <w:r w:rsidRPr="000750E4">
        <w:rPr>
          <w:sz w:val="22"/>
          <w:szCs w:val="22"/>
        </w:rPr>
        <w:t>rozpočte</w:t>
      </w:r>
      <w:r w:rsidR="000B5E67" w:rsidRPr="000750E4">
        <w:rPr>
          <w:sz w:val="22"/>
          <w:szCs w:val="22"/>
        </w:rPr>
        <w:t xml:space="preserve"> podľa podmienok platného </w:t>
      </w:r>
      <w:r w:rsidR="00022A6E" w:rsidRPr="000750E4">
        <w:rPr>
          <w:sz w:val="22"/>
          <w:szCs w:val="22"/>
        </w:rPr>
        <w:t>VZN</w:t>
      </w:r>
      <w:r w:rsidR="000B5E67" w:rsidRPr="000750E4">
        <w:rPr>
          <w:sz w:val="22"/>
          <w:szCs w:val="22"/>
        </w:rPr>
        <w:t xml:space="preserve"> </w:t>
      </w:r>
      <w:r w:rsidR="00022A6E" w:rsidRPr="000750E4">
        <w:rPr>
          <w:sz w:val="22"/>
          <w:szCs w:val="22"/>
        </w:rPr>
        <w:t>schválilo</w:t>
      </w:r>
      <w:r w:rsidRPr="000750E4">
        <w:rPr>
          <w:sz w:val="22"/>
          <w:szCs w:val="22"/>
        </w:rPr>
        <w:t xml:space="preserve"> mestské </w:t>
      </w:r>
      <w:r w:rsidRPr="00031AB3">
        <w:rPr>
          <w:b/>
          <w:sz w:val="22"/>
          <w:szCs w:val="22"/>
        </w:rPr>
        <w:t xml:space="preserve">zastupiteľstvo </w:t>
      </w:r>
      <w:r w:rsidR="000B5E67" w:rsidRPr="00031AB3">
        <w:rPr>
          <w:b/>
          <w:sz w:val="22"/>
          <w:szCs w:val="22"/>
        </w:rPr>
        <w:t xml:space="preserve">v pomere 70% šport, 20% kultúra, 7% sociálna oblasť, 3% limit primátora. </w:t>
      </w:r>
    </w:p>
    <w:p w:rsidR="000B5E67" w:rsidRPr="000750E4" w:rsidRDefault="000B5E67" w:rsidP="00E07C67">
      <w:pPr>
        <w:pStyle w:val="Default"/>
        <w:spacing w:line="276" w:lineRule="auto"/>
        <w:ind w:firstLine="708"/>
        <w:rPr>
          <w:sz w:val="22"/>
          <w:szCs w:val="22"/>
        </w:rPr>
      </w:pPr>
    </w:p>
    <w:p w:rsidR="00FB50ED" w:rsidRDefault="000B5E67" w:rsidP="00EF66E1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  <w:r w:rsidRPr="000750E4">
        <w:rPr>
          <w:sz w:val="22"/>
          <w:szCs w:val="22"/>
        </w:rPr>
        <w:t xml:space="preserve">Podľa údajov v záverečnom účte mesto v roku </w:t>
      </w:r>
      <w:r w:rsidR="000C5CD4">
        <w:rPr>
          <w:sz w:val="22"/>
          <w:szCs w:val="22"/>
        </w:rPr>
        <w:t>2019</w:t>
      </w:r>
      <w:r w:rsidR="00E54DB0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 xml:space="preserve">poskytlo dotácie v celkovej výške </w:t>
      </w:r>
      <w:r w:rsidR="00383089">
        <w:rPr>
          <w:sz w:val="22"/>
          <w:szCs w:val="22"/>
        </w:rPr>
        <w:t>121.85</w:t>
      </w:r>
      <w:r w:rsidR="00A21258">
        <w:rPr>
          <w:sz w:val="22"/>
          <w:szCs w:val="22"/>
        </w:rPr>
        <w:t>0€</w:t>
      </w:r>
      <w:r w:rsidR="0051080B">
        <w:rPr>
          <w:sz w:val="22"/>
          <w:szCs w:val="22"/>
        </w:rPr>
        <w:t>+ mimoriadne dotácie vo výške 15.</w:t>
      </w:r>
      <w:r w:rsidR="00A21258">
        <w:rPr>
          <w:sz w:val="22"/>
          <w:szCs w:val="22"/>
        </w:rPr>
        <w:t>34</w:t>
      </w:r>
      <w:r w:rsidR="0051080B">
        <w:rPr>
          <w:sz w:val="22"/>
          <w:szCs w:val="22"/>
        </w:rPr>
        <w:t>0€ (</w:t>
      </w:r>
      <w:r w:rsidR="00A21258">
        <w:rPr>
          <w:sz w:val="22"/>
          <w:szCs w:val="22"/>
        </w:rPr>
        <w:t xml:space="preserve">spolu v r.2018 121.450€, </w:t>
      </w:r>
      <w:r w:rsidR="0051080B">
        <w:rPr>
          <w:sz w:val="22"/>
          <w:szCs w:val="22"/>
        </w:rPr>
        <w:t xml:space="preserve">r.2017 111.000€, </w:t>
      </w:r>
      <w:r w:rsidR="00FE5B73" w:rsidRPr="000750E4">
        <w:rPr>
          <w:sz w:val="22"/>
          <w:szCs w:val="22"/>
        </w:rPr>
        <w:t xml:space="preserve">r. 2016 </w:t>
      </w:r>
      <w:r w:rsidR="00E35E94" w:rsidRPr="000750E4">
        <w:rPr>
          <w:sz w:val="22"/>
          <w:szCs w:val="22"/>
        </w:rPr>
        <w:t>97.000</w:t>
      </w:r>
      <w:r w:rsidR="00FE5B73" w:rsidRPr="000750E4">
        <w:rPr>
          <w:sz w:val="22"/>
          <w:szCs w:val="22"/>
        </w:rPr>
        <w:t>€</w:t>
      </w:r>
      <w:r w:rsidR="00E35E94" w:rsidRPr="000750E4">
        <w:rPr>
          <w:sz w:val="22"/>
          <w:szCs w:val="22"/>
        </w:rPr>
        <w:t>,</w:t>
      </w:r>
      <w:r w:rsidR="00FE5B73" w:rsidRPr="000750E4">
        <w:rPr>
          <w:sz w:val="22"/>
          <w:szCs w:val="22"/>
        </w:rPr>
        <w:t xml:space="preserve"> </w:t>
      </w:r>
      <w:r w:rsidR="00B84960" w:rsidRPr="000750E4">
        <w:rPr>
          <w:sz w:val="22"/>
          <w:szCs w:val="22"/>
        </w:rPr>
        <w:t>r</w:t>
      </w:r>
      <w:r w:rsidR="00FE5B73" w:rsidRPr="000750E4">
        <w:rPr>
          <w:sz w:val="22"/>
          <w:szCs w:val="22"/>
        </w:rPr>
        <w:t xml:space="preserve">. </w:t>
      </w:r>
      <w:r w:rsidR="00B84960" w:rsidRPr="000750E4">
        <w:rPr>
          <w:sz w:val="22"/>
          <w:szCs w:val="22"/>
        </w:rPr>
        <w:t xml:space="preserve">2015 </w:t>
      </w:r>
      <w:r w:rsidR="00D76EC7" w:rsidRPr="000750E4">
        <w:rPr>
          <w:sz w:val="22"/>
          <w:szCs w:val="22"/>
        </w:rPr>
        <w:t>94.250</w:t>
      </w:r>
      <w:r w:rsidRPr="000750E4">
        <w:rPr>
          <w:sz w:val="22"/>
          <w:szCs w:val="22"/>
        </w:rPr>
        <w:t>€</w:t>
      </w:r>
      <w:r w:rsidR="00B84960" w:rsidRPr="000750E4">
        <w:rPr>
          <w:sz w:val="22"/>
          <w:szCs w:val="22"/>
        </w:rPr>
        <w:t>)</w:t>
      </w:r>
      <w:r w:rsidRPr="000750E4">
        <w:rPr>
          <w:sz w:val="22"/>
          <w:szCs w:val="22"/>
        </w:rPr>
        <w:t xml:space="preserve">, primátor vo výške </w:t>
      </w:r>
      <w:r w:rsidR="00A21258">
        <w:rPr>
          <w:sz w:val="22"/>
          <w:szCs w:val="22"/>
        </w:rPr>
        <w:t xml:space="preserve">800€ (r.2018 </w:t>
      </w:r>
      <w:r w:rsidR="0051080B">
        <w:rPr>
          <w:sz w:val="22"/>
          <w:szCs w:val="22"/>
        </w:rPr>
        <w:t>3.490€</w:t>
      </w:r>
      <w:r w:rsidR="00A21258">
        <w:rPr>
          <w:sz w:val="22"/>
          <w:szCs w:val="22"/>
        </w:rPr>
        <w:t xml:space="preserve">, </w:t>
      </w:r>
      <w:r w:rsidR="0051080B">
        <w:rPr>
          <w:sz w:val="22"/>
          <w:szCs w:val="22"/>
        </w:rPr>
        <w:t xml:space="preserve">r.2017 </w:t>
      </w:r>
      <w:r w:rsidR="00A21258">
        <w:rPr>
          <w:sz w:val="22"/>
          <w:szCs w:val="22"/>
        </w:rPr>
        <w:t xml:space="preserve">3.000€, </w:t>
      </w:r>
      <w:r w:rsidR="00FE5B73" w:rsidRPr="000750E4">
        <w:rPr>
          <w:sz w:val="22"/>
          <w:szCs w:val="22"/>
        </w:rPr>
        <w:t xml:space="preserve">r.2016 2999,70€, </w:t>
      </w:r>
      <w:r w:rsidR="00B84960" w:rsidRPr="000750E4">
        <w:rPr>
          <w:sz w:val="22"/>
          <w:szCs w:val="22"/>
        </w:rPr>
        <w:t>r</w:t>
      </w:r>
      <w:r w:rsidR="00FE5B73" w:rsidRPr="000750E4">
        <w:rPr>
          <w:sz w:val="22"/>
          <w:szCs w:val="22"/>
        </w:rPr>
        <w:t xml:space="preserve">. </w:t>
      </w:r>
      <w:r w:rsidR="00B84960" w:rsidRPr="000750E4">
        <w:rPr>
          <w:sz w:val="22"/>
          <w:szCs w:val="22"/>
        </w:rPr>
        <w:t xml:space="preserve">2015 </w:t>
      </w:r>
      <w:r w:rsidR="00D76EC7" w:rsidRPr="000750E4">
        <w:rPr>
          <w:sz w:val="22"/>
          <w:szCs w:val="22"/>
        </w:rPr>
        <w:t>2.799,70€</w:t>
      </w:r>
      <w:r w:rsidR="00B84960" w:rsidRPr="000750E4">
        <w:rPr>
          <w:sz w:val="22"/>
          <w:szCs w:val="22"/>
        </w:rPr>
        <w:t>)</w:t>
      </w:r>
      <w:r w:rsidRPr="000750E4">
        <w:rPr>
          <w:sz w:val="22"/>
          <w:szCs w:val="22"/>
        </w:rPr>
        <w:t>, tieto sú bližšie špecifikované v</w:t>
      </w:r>
      <w:r w:rsidR="00501A56" w:rsidRPr="000750E4">
        <w:rPr>
          <w:sz w:val="22"/>
          <w:szCs w:val="22"/>
        </w:rPr>
        <w:t xml:space="preserve"> hodnotenom</w:t>
      </w:r>
      <w:r w:rsidRPr="000750E4">
        <w:rPr>
          <w:sz w:val="22"/>
          <w:szCs w:val="22"/>
        </w:rPr>
        <w:t> dokumente na strane 3</w:t>
      </w:r>
      <w:r w:rsidR="00A21258">
        <w:rPr>
          <w:sz w:val="22"/>
          <w:szCs w:val="22"/>
        </w:rPr>
        <w:t>9</w:t>
      </w:r>
      <w:r w:rsidRPr="00EF66E1">
        <w:rPr>
          <w:b/>
          <w:sz w:val="22"/>
          <w:szCs w:val="22"/>
        </w:rPr>
        <w:t xml:space="preserve">. </w:t>
      </w:r>
    </w:p>
    <w:p w:rsidR="00FB50ED" w:rsidRPr="00FB50ED" w:rsidRDefault="00EF66E1" w:rsidP="00EF66E1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EF66E1">
        <w:rPr>
          <w:b/>
          <w:sz w:val="22"/>
          <w:szCs w:val="22"/>
        </w:rPr>
        <w:lastRenderedPageBreak/>
        <w:t xml:space="preserve">Priame finančné dotácie na podporu športu, kultúry a sociálnej oblasti sú vo výške </w:t>
      </w:r>
      <w:r w:rsidR="00383089">
        <w:rPr>
          <w:b/>
          <w:sz w:val="22"/>
          <w:szCs w:val="22"/>
        </w:rPr>
        <w:t xml:space="preserve">137.990€ (r.2018 </w:t>
      </w:r>
      <w:r w:rsidRPr="00EF66E1">
        <w:rPr>
          <w:b/>
          <w:sz w:val="22"/>
          <w:szCs w:val="22"/>
        </w:rPr>
        <w:t>139.940€</w:t>
      </w:r>
      <w:r>
        <w:rPr>
          <w:sz w:val="22"/>
          <w:szCs w:val="22"/>
        </w:rPr>
        <w:t xml:space="preserve">. </w:t>
      </w:r>
      <w:r w:rsidR="0051080B" w:rsidRPr="0051080B">
        <w:rPr>
          <w:b/>
          <w:sz w:val="22"/>
          <w:szCs w:val="22"/>
        </w:rPr>
        <w:t>Prehľad o poskytnutých dotáciách neobsahuje nepriamu finančnú pomoc vo forme údržby, prevádzky a bezplatného prenájmu, či zvýhodneného prenájmu technickej infraštruktúry</w:t>
      </w:r>
      <w:r w:rsidR="00FB50ED">
        <w:rPr>
          <w:b/>
          <w:sz w:val="22"/>
          <w:szCs w:val="22"/>
        </w:rPr>
        <w:t xml:space="preserve"> vo vlastníctve mesta či obchodnej spoločnosti</w:t>
      </w:r>
      <w:r w:rsidR="0051080B" w:rsidRPr="0051080B">
        <w:rPr>
          <w:b/>
          <w:sz w:val="22"/>
          <w:szCs w:val="22"/>
        </w:rPr>
        <w:t>.</w:t>
      </w:r>
      <w:r w:rsidR="0051080B">
        <w:rPr>
          <w:sz w:val="22"/>
          <w:szCs w:val="22"/>
        </w:rPr>
        <w:t xml:space="preserve"> </w:t>
      </w:r>
      <w:r w:rsidR="00FB50ED" w:rsidRPr="000750E4">
        <w:rPr>
          <w:sz w:val="22"/>
          <w:szCs w:val="22"/>
        </w:rPr>
        <w:t xml:space="preserve">Použitie finančných prostriedkov každoročne podlieha priebežnej finančnej kontrole. </w:t>
      </w:r>
      <w:r w:rsidR="00FB50ED">
        <w:rPr>
          <w:sz w:val="22"/>
          <w:szCs w:val="22"/>
        </w:rPr>
        <w:t xml:space="preserve">V mesiacoch január a </w:t>
      </w:r>
      <w:r w:rsidR="00FB50ED" w:rsidRPr="000750E4">
        <w:rPr>
          <w:sz w:val="22"/>
          <w:szCs w:val="22"/>
        </w:rPr>
        <w:t>február 20</w:t>
      </w:r>
      <w:r w:rsidR="00FB50ED">
        <w:rPr>
          <w:sz w:val="22"/>
          <w:szCs w:val="22"/>
        </w:rPr>
        <w:t>20</w:t>
      </w:r>
      <w:r w:rsidR="00FB50ED" w:rsidRPr="000750E4">
        <w:rPr>
          <w:sz w:val="22"/>
          <w:szCs w:val="22"/>
        </w:rPr>
        <w:t xml:space="preserve"> bola vykonaná z úrovne ekonomického oddelenia, administratívna finančná kontrola zúčtovania poskytnutých dotácií za rok </w:t>
      </w:r>
      <w:r w:rsidR="00FB50ED">
        <w:rPr>
          <w:sz w:val="22"/>
          <w:szCs w:val="22"/>
        </w:rPr>
        <w:t>2019</w:t>
      </w:r>
      <w:r w:rsidR="00FB50ED" w:rsidRPr="000750E4">
        <w:rPr>
          <w:sz w:val="22"/>
          <w:szCs w:val="22"/>
        </w:rPr>
        <w:t xml:space="preserve"> u všetkých prijímateľoch finančnej pomoci. </w:t>
      </w:r>
    </w:p>
    <w:p w:rsidR="00FB50ED" w:rsidRDefault="00EF66E1" w:rsidP="00EF66E1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Z dokumentu „Záverečný účet“ možno identifikovať, že </w:t>
      </w:r>
      <w:r w:rsidRPr="00EF66E1">
        <w:rPr>
          <w:i/>
          <w:sz w:val="22"/>
          <w:szCs w:val="22"/>
        </w:rPr>
        <w:t xml:space="preserve">Mesto Stará Ľubovňa poskytuje </w:t>
      </w:r>
      <w:r w:rsidRPr="00EF66E1">
        <w:rPr>
          <w:b/>
          <w:i/>
          <w:sz w:val="22"/>
          <w:szCs w:val="22"/>
        </w:rPr>
        <w:t>nepriamu finančnú podporu na prevádzkovú réžiu technických zariadení</w:t>
      </w:r>
      <w:r w:rsidRPr="00EF66E1">
        <w:rPr>
          <w:i/>
          <w:sz w:val="22"/>
          <w:szCs w:val="22"/>
        </w:rPr>
        <w:t xml:space="preserve"> vo verejnom záujm</w:t>
      </w:r>
      <w:r>
        <w:rPr>
          <w:i/>
          <w:sz w:val="22"/>
          <w:szCs w:val="22"/>
        </w:rPr>
        <w:t>e</w:t>
      </w:r>
      <w:r w:rsidRPr="00EF66E1">
        <w:rPr>
          <w:i/>
          <w:sz w:val="22"/>
          <w:szCs w:val="22"/>
        </w:rPr>
        <w:t xml:space="preserve"> v štruktúre a hodnote: krytá plaváreň a športová hala vo výške </w:t>
      </w:r>
      <w:r w:rsidR="00383089">
        <w:rPr>
          <w:i/>
          <w:sz w:val="22"/>
          <w:szCs w:val="22"/>
        </w:rPr>
        <w:t xml:space="preserve">320.740€ (r.2018 </w:t>
      </w:r>
      <w:r w:rsidRPr="00EF66E1">
        <w:rPr>
          <w:i/>
          <w:sz w:val="22"/>
          <w:szCs w:val="22"/>
        </w:rPr>
        <w:t>324.640€</w:t>
      </w:r>
      <w:r w:rsidR="009D0A98">
        <w:rPr>
          <w:i/>
          <w:sz w:val="22"/>
          <w:szCs w:val="22"/>
        </w:rPr>
        <w:t>)</w:t>
      </w:r>
      <w:r w:rsidRPr="00EF66E1">
        <w:rPr>
          <w:i/>
          <w:sz w:val="22"/>
          <w:szCs w:val="22"/>
        </w:rPr>
        <w:t xml:space="preserve">, futbalový štadión </w:t>
      </w:r>
      <w:r w:rsidR="009D0A98">
        <w:rPr>
          <w:i/>
          <w:sz w:val="22"/>
          <w:szCs w:val="22"/>
        </w:rPr>
        <w:t xml:space="preserve">44.895,41€ (r.2018 </w:t>
      </w:r>
      <w:r w:rsidRPr="00EF66E1">
        <w:rPr>
          <w:i/>
          <w:sz w:val="22"/>
          <w:szCs w:val="22"/>
        </w:rPr>
        <w:t>46.755,88€</w:t>
      </w:r>
      <w:r w:rsidR="009D0A98">
        <w:rPr>
          <w:i/>
          <w:sz w:val="22"/>
          <w:szCs w:val="22"/>
        </w:rPr>
        <w:t>)</w:t>
      </w:r>
      <w:r w:rsidRPr="00EF66E1">
        <w:rPr>
          <w:i/>
          <w:sz w:val="22"/>
          <w:szCs w:val="22"/>
        </w:rPr>
        <w:t>, stredisko Futba</w:t>
      </w:r>
      <w:r w:rsidR="009D0A98">
        <w:rPr>
          <w:i/>
          <w:sz w:val="22"/>
          <w:szCs w:val="22"/>
        </w:rPr>
        <w:t xml:space="preserve">lové ihrisko s umelým trávnikom 20.341,57€ (r.2018 </w:t>
      </w:r>
      <w:r w:rsidRPr="00EF66E1">
        <w:rPr>
          <w:i/>
          <w:sz w:val="22"/>
          <w:szCs w:val="22"/>
        </w:rPr>
        <w:t>21.716,95€</w:t>
      </w:r>
      <w:r w:rsidR="009D0A98">
        <w:rPr>
          <w:i/>
          <w:sz w:val="22"/>
          <w:szCs w:val="22"/>
        </w:rPr>
        <w:t>)</w:t>
      </w:r>
      <w:r w:rsidRPr="00EF66E1">
        <w:rPr>
          <w:i/>
          <w:sz w:val="22"/>
          <w:szCs w:val="22"/>
        </w:rPr>
        <w:t>,</w:t>
      </w:r>
      <w:r w:rsidR="009D0A98">
        <w:rPr>
          <w:i/>
          <w:sz w:val="22"/>
          <w:szCs w:val="22"/>
        </w:rPr>
        <w:t xml:space="preserve"> </w:t>
      </w:r>
      <w:r w:rsidR="00383089">
        <w:rPr>
          <w:i/>
          <w:sz w:val="22"/>
          <w:szCs w:val="22"/>
        </w:rPr>
        <w:t xml:space="preserve">zimný štadión r.2019 bez poskytnutia, </w:t>
      </w:r>
      <w:r w:rsidRPr="00EF66E1">
        <w:rPr>
          <w:i/>
          <w:sz w:val="22"/>
          <w:szCs w:val="22"/>
        </w:rPr>
        <w:t xml:space="preserve">spolu </w:t>
      </w:r>
      <w:r w:rsidRPr="00EF66E1">
        <w:rPr>
          <w:b/>
          <w:i/>
          <w:sz w:val="22"/>
          <w:szCs w:val="22"/>
        </w:rPr>
        <w:t xml:space="preserve">vo výške </w:t>
      </w:r>
      <w:r w:rsidR="009D0A98">
        <w:rPr>
          <w:b/>
          <w:i/>
          <w:sz w:val="22"/>
          <w:szCs w:val="22"/>
        </w:rPr>
        <w:t xml:space="preserve">385.976,98€ (r.2018 </w:t>
      </w:r>
      <w:r w:rsidRPr="00EF66E1">
        <w:rPr>
          <w:b/>
          <w:i/>
          <w:sz w:val="22"/>
          <w:szCs w:val="22"/>
        </w:rPr>
        <w:t>393.112,83€</w:t>
      </w:r>
      <w:r w:rsidRPr="00EF66E1">
        <w:rPr>
          <w:i/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0B5E67" w:rsidRPr="000750E4" w:rsidRDefault="000B5E67" w:rsidP="00E07C67">
      <w:pPr>
        <w:pStyle w:val="Default"/>
        <w:spacing w:line="276" w:lineRule="auto"/>
        <w:jc w:val="both"/>
        <w:rPr>
          <w:b/>
          <w:iCs/>
          <w:smallCaps/>
          <w:sz w:val="22"/>
          <w:szCs w:val="22"/>
        </w:rPr>
      </w:pPr>
    </w:p>
    <w:p w:rsidR="00632942" w:rsidRDefault="00632942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 xml:space="preserve">Údaje o podnikateľskej činnosti </w:t>
      </w:r>
    </w:p>
    <w:p w:rsidR="00632942" w:rsidRDefault="00632942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</w:p>
    <w:p w:rsidR="00632942" w:rsidRPr="000750E4" w:rsidRDefault="00632942" w:rsidP="003B4C4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3"/>
          <w:szCs w:val="23"/>
        </w:rPr>
        <w:tab/>
      </w:r>
      <w:r w:rsidRPr="000750E4">
        <w:rPr>
          <w:sz w:val="22"/>
          <w:szCs w:val="22"/>
        </w:rPr>
        <w:t xml:space="preserve">Mesto nevykonávalo podnikateľskú činnosť v hodnotenom roku. </w:t>
      </w:r>
    </w:p>
    <w:p w:rsidR="00E07C67" w:rsidRPr="001936DA" w:rsidRDefault="00E07C67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</w:p>
    <w:p w:rsidR="001936DA" w:rsidRPr="001936DA" w:rsidRDefault="001936DA" w:rsidP="003B4C40">
      <w:pPr>
        <w:pStyle w:val="Default"/>
        <w:spacing w:line="276" w:lineRule="auto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Finančné usporiadanie vzťahov </w:t>
      </w:r>
    </w:p>
    <w:p w:rsidR="00501A56" w:rsidRDefault="00501A56" w:rsidP="003B4C40">
      <w:pPr>
        <w:pStyle w:val="Default"/>
        <w:spacing w:line="276" w:lineRule="auto"/>
        <w:jc w:val="both"/>
        <w:rPr>
          <w:iCs/>
          <w:smallCaps/>
          <w:sz w:val="26"/>
          <w:szCs w:val="26"/>
        </w:rPr>
      </w:pPr>
    </w:p>
    <w:p w:rsidR="00501A56" w:rsidRPr="000750E4" w:rsidRDefault="00501A56" w:rsidP="003B4C40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>Mesto v rámci ročn</w:t>
      </w:r>
      <w:r w:rsidR="003C4460" w:rsidRPr="000750E4">
        <w:rPr>
          <w:sz w:val="22"/>
          <w:szCs w:val="22"/>
        </w:rPr>
        <w:t>ej účtovnej závierky za rok 201</w:t>
      </w:r>
      <w:r w:rsidR="009D0A98">
        <w:rPr>
          <w:sz w:val="22"/>
          <w:szCs w:val="22"/>
        </w:rPr>
        <w:t>9</w:t>
      </w:r>
      <w:r w:rsidRPr="000750E4">
        <w:rPr>
          <w:sz w:val="22"/>
          <w:szCs w:val="22"/>
        </w:rPr>
        <w:t xml:space="preserve"> finančne usporiadalo svoje hospodárenie vrátane finančných vzťahov k zriadeným alebo založeným právnickým osobám a fyzickým osobám - podnikateľom a pr</w:t>
      </w:r>
      <w:r w:rsidR="003B4C40" w:rsidRPr="000750E4">
        <w:rPr>
          <w:sz w:val="22"/>
          <w:szCs w:val="22"/>
        </w:rPr>
        <w:t>ávnickým osobám, ktorým poskytlo</w:t>
      </w:r>
      <w:r w:rsidRPr="000750E4">
        <w:rPr>
          <w:sz w:val="22"/>
          <w:szCs w:val="22"/>
        </w:rPr>
        <w:t xml:space="preserve"> prostriedky svojho rozpočtu. Súčasne usporiadalo finančné vzťahy k štátnemu rozpočtu, štátnym fondom a tým splnilo povinnosť vyplývajúcu z ustanovenia § 16 ods. 2 zákona č. 583/2004 Z.z. v znení neskorších zmien a doplnkov. </w:t>
      </w:r>
    </w:p>
    <w:p w:rsidR="00501A56" w:rsidRPr="000750E4" w:rsidRDefault="00501A56" w:rsidP="003B4C40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501A56" w:rsidRPr="000750E4" w:rsidRDefault="00501A56" w:rsidP="003B4C40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sz w:val="22"/>
          <w:szCs w:val="22"/>
        </w:rPr>
        <w:t>Finančné zúčtovanie je účtovne evidované na účtoch triedy 3 – zúčtovacie vzťahy, ktoré môžu mať kladný alebo záporný konečný zostatok a podľa toho sú vykazované v súvahe buď na strane aktív alebo na strane pasív.</w:t>
      </w:r>
    </w:p>
    <w:p w:rsidR="00501A56" w:rsidRPr="000750E4" w:rsidRDefault="00501A56" w:rsidP="003B4C40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E728DF" w:rsidRPr="000750E4" w:rsidRDefault="00E728DF" w:rsidP="003B4C40">
      <w:pPr>
        <w:pStyle w:val="Default"/>
        <w:spacing w:line="276" w:lineRule="auto"/>
        <w:ind w:firstLine="708"/>
        <w:jc w:val="both"/>
        <w:rPr>
          <w:iCs/>
          <w:smallCaps/>
          <w:sz w:val="22"/>
          <w:szCs w:val="22"/>
        </w:rPr>
      </w:pPr>
      <w:r w:rsidRPr="000750E4">
        <w:rPr>
          <w:sz w:val="22"/>
          <w:szCs w:val="22"/>
        </w:rPr>
        <w:t>Účty finančného usporiadania vzťahov podliehajú každoročne riadnej inventarizácii ku dňu, ku ktorému sa zostavuje účtovná závierka</w:t>
      </w:r>
      <w:r w:rsidR="00392FFE" w:rsidRPr="000750E4">
        <w:rPr>
          <w:sz w:val="22"/>
          <w:szCs w:val="22"/>
        </w:rPr>
        <w:t xml:space="preserve">. </w:t>
      </w:r>
    </w:p>
    <w:p w:rsidR="00402D6C" w:rsidRPr="000750E4" w:rsidRDefault="00402D6C" w:rsidP="0050438F">
      <w:pPr>
        <w:pStyle w:val="Default"/>
        <w:jc w:val="both"/>
        <w:rPr>
          <w:iCs/>
          <w:smallCaps/>
          <w:sz w:val="22"/>
          <w:szCs w:val="22"/>
        </w:rPr>
      </w:pPr>
    </w:p>
    <w:p w:rsidR="001936DA" w:rsidRDefault="001936DA" w:rsidP="0050438F">
      <w:pPr>
        <w:pStyle w:val="Default"/>
        <w:jc w:val="both"/>
        <w:rPr>
          <w:b/>
          <w:iCs/>
          <w:smallCaps/>
          <w:sz w:val="26"/>
          <w:szCs w:val="26"/>
        </w:rPr>
      </w:pPr>
      <w:r w:rsidRPr="001936DA">
        <w:rPr>
          <w:b/>
          <w:iCs/>
          <w:smallCaps/>
          <w:sz w:val="26"/>
          <w:szCs w:val="26"/>
        </w:rPr>
        <w:t xml:space="preserve">Hodnotenie programov </w:t>
      </w:r>
      <w:r w:rsidR="004F033D">
        <w:rPr>
          <w:b/>
          <w:iCs/>
          <w:smallCaps/>
          <w:sz w:val="26"/>
          <w:szCs w:val="26"/>
        </w:rPr>
        <w:t xml:space="preserve">rozpočtu </w:t>
      </w:r>
    </w:p>
    <w:p w:rsidR="00C46D7F" w:rsidRPr="000750E4" w:rsidRDefault="00C46D7F" w:rsidP="00C46D7F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E63B2D" w:rsidRPr="009F3516" w:rsidRDefault="00C46D7F" w:rsidP="00E63B2D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  <w:r w:rsidRPr="000750E4">
        <w:rPr>
          <w:sz w:val="22"/>
          <w:szCs w:val="22"/>
        </w:rPr>
        <w:t>Zákonom č. 324/2007 Z.z. bol novelizovaný zákon o rozpočtových pravidlách územnej samosprávy, kde v </w:t>
      </w:r>
      <w:proofErr w:type="spellStart"/>
      <w:r w:rsidRPr="000750E4">
        <w:rPr>
          <w:sz w:val="22"/>
          <w:szCs w:val="22"/>
        </w:rPr>
        <w:t>ust</w:t>
      </w:r>
      <w:proofErr w:type="spellEnd"/>
      <w:r w:rsidRPr="000750E4">
        <w:rPr>
          <w:sz w:val="22"/>
          <w:szCs w:val="22"/>
        </w:rPr>
        <w:t>. § 4 bol doplnený nový ods</w:t>
      </w:r>
      <w:r w:rsidR="00E35E94" w:rsidRPr="000750E4">
        <w:rPr>
          <w:sz w:val="22"/>
          <w:szCs w:val="22"/>
        </w:rPr>
        <w:t>.</w:t>
      </w:r>
      <w:r w:rsidRPr="000750E4">
        <w:rPr>
          <w:sz w:val="22"/>
          <w:szCs w:val="22"/>
        </w:rPr>
        <w:t xml:space="preserve"> 5), ktorý uložil mestu povinnosť, rozpočet musí obsahova</w:t>
      </w:r>
      <w:r w:rsidR="00E35E94" w:rsidRPr="000750E4">
        <w:rPr>
          <w:sz w:val="22"/>
          <w:szCs w:val="22"/>
        </w:rPr>
        <w:t>ť zámery a ciele, tzv. program mesta</w:t>
      </w:r>
      <w:r w:rsidRPr="000750E4">
        <w:rPr>
          <w:sz w:val="22"/>
          <w:szCs w:val="22"/>
        </w:rPr>
        <w:t xml:space="preserve">. </w:t>
      </w:r>
      <w:r w:rsidR="00632942" w:rsidRPr="000750E4">
        <w:rPr>
          <w:sz w:val="22"/>
          <w:szCs w:val="22"/>
        </w:rPr>
        <w:t>V súlade so zákonom o rozpočtových pravidlách územnej samosprávy bol rozpočet na rok 201</w:t>
      </w:r>
      <w:r w:rsidR="00A4265A">
        <w:rPr>
          <w:sz w:val="22"/>
          <w:szCs w:val="22"/>
        </w:rPr>
        <w:t xml:space="preserve">9 </w:t>
      </w:r>
      <w:r w:rsidR="00632942" w:rsidRPr="000750E4">
        <w:rPr>
          <w:sz w:val="22"/>
          <w:szCs w:val="22"/>
        </w:rPr>
        <w:t>zo</w:t>
      </w:r>
      <w:r w:rsidRPr="000750E4">
        <w:rPr>
          <w:sz w:val="22"/>
          <w:szCs w:val="22"/>
        </w:rPr>
        <w:t xml:space="preserve">stavený ako programový rozpočet; výdavky rozpočtu mesta boli alokované do príslušných programov, ktoré sa vnútorne členili na podprogramy, prvky a projekty. </w:t>
      </w:r>
      <w:r w:rsidRPr="00A4265A">
        <w:rPr>
          <w:b/>
          <w:sz w:val="22"/>
          <w:szCs w:val="22"/>
        </w:rPr>
        <w:t xml:space="preserve">Každý program, ktorý predstavuje súhrn aktivít (prác, činnosti a dodávok) má definovaný svoj zámer a cieľ, pričom zámer vyjadruje očakávaný pozitívny dôsledok dlhodobého plnenia príslušných cieľov a cieľ sa monitoruje a hodnotí merateľným ukazovateľom. </w:t>
      </w:r>
      <w:r w:rsidR="00A4265A" w:rsidRPr="00A4265A">
        <w:rPr>
          <w:b/>
          <w:sz w:val="22"/>
          <w:szCs w:val="22"/>
        </w:rPr>
        <w:t>(Konkrétne</w:t>
      </w:r>
      <w:r w:rsidR="00136CEC" w:rsidRPr="00A4265A">
        <w:rPr>
          <w:b/>
          <w:sz w:val="22"/>
          <w:szCs w:val="22"/>
        </w:rPr>
        <w:t xml:space="preserve"> akým spôsobom a či bol cieľ a merateľný ukazovateľ </w:t>
      </w:r>
      <w:r w:rsidR="0026473E" w:rsidRPr="00A4265A">
        <w:rPr>
          <w:b/>
          <w:sz w:val="22"/>
          <w:szCs w:val="22"/>
        </w:rPr>
        <w:t>preukázateľné (kvantifikovaný)</w:t>
      </w:r>
      <w:r w:rsidR="00136CEC" w:rsidRPr="00A4265A">
        <w:rPr>
          <w:b/>
          <w:sz w:val="22"/>
          <w:szCs w:val="22"/>
        </w:rPr>
        <w:t xml:space="preserve"> splnený už spracovateľ neuvádza). </w:t>
      </w:r>
      <w:r w:rsidRPr="00A4265A">
        <w:rPr>
          <w:b/>
          <w:sz w:val="22"/>
          <w:szCs w:val="22"/>
        </w:rPr>
        <w:t>Hodnotenie programov v návrhu Záverečného účtu je na úrovni slovného uvedenia plnenia či neplnenia jednotlivých programov mesta vrátane jeho prvkov a projektov.</w:t>
      </w:r>
      <w:r w:rsidRPr="000750E4">
        <w:rPr>
          <w:sz w:val="22"/>
          <w:szCs w:val="22"/>
        </w:rPr>
        <w:t xml:space="preserve"> </w:t>
      </w:r>
      <w:r w:rsidR="00E63B2D" w:rsidRPr="000750E4">
        <w:rPr>
          <w:sz w:val="22"/>
          <w:szCs w:val="22"/>
        </w:rPr>
        <w:t xml:space="preserve">Vyhodnotenie plnenia vytýčených zámerov a dosiahnutých cieľov zabezpečuje každé oddelenie, </w:t>
      </w:r>
      <w:r w:rsidR="00E63B2D" w:rsidRPr="000750E4">
        <w:rPr>
          <w:sz w:val="22"/>
          <w:szCs w:val="22"/>
        </w:rPr>
        <w:lastRenderedPageBreak/>
        <w:t xml:space="preserve">rozpočtové spoločnosti a príspevková spoločnosť samostatne za svoj program. </w:t>
      </w:r>
      <w:r w:rsidR="0026473E">
        <w:rPr>
          <w:sz w:val="22"/>
          <w:szCs w:val="22"/>
        </w:rPr>
        <w:t xml:space="preserve">V oblasti hodnotenia programov rozpočtu sa teda jedná o tzv. </w:t>
      </w:r>
      <w:r w:rsidR="0026473E" w:rsidRPr="009F3516">
        <w:rPr>
          <w:b/>
          <w:sz w:val="22"/>
          <w:szCs w:val="22"/>
        </w:rPr>
        <w:t xml:space="preserve">autonómne hodnotenie. </w:t>
      </w:r>
    </w:p>
    <w:p w:rsidR="00C46D7F" w:rsidRPr="000750E4" w:rsidRDefault="00C46D7F" w:rsidP="00C46D7F">
      <w:pPr>
        <w:pStyle w:val="Default"/>
        <w:spacing w:line="276" w:lineRule="auto"/>
        <w:jc w:val="both"/>
        <w:rPr>
          <w:sz w:val="22"/>
          <w:szCs w:val="22"/>
        </w:rPr>
      </w:pPr>
    </w:p>
    <w:p w:rsidR="0039713A" w:rsidRPr="009F3516" w:rsidRDefault="00E63B2D" w:rsidP="009F3516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750E4">
        <w:tab/>
      </w:r>
      <w:r w:rsidR="00C46D7F" w:rsidRPr="009F3516">
        <w:rPr>
          <w:rFonts w:ascii="Times New Roman" w:hAnsi="Times New Roman" w:cs="Times New Roman"/>
        </w:rPr>
        <w:t xml:space="preserve">Aplikácií programového rozpočtovania a spracovaniu podrobného programového rozpočtu sa venuje </w:t>
      </w:r>
      <w:r w:rsidR="009F3516" w:rsidRPr="009F3516">
        <w:rPr>
          <w:rFonts w:ascii="Times New Roman" w:hAnsi="Times New Roman" w:cs="Times New Roman"/>
        </w:rPr>
        <w:t>vysoká miera pozornosti. Rozpočet je základným ekonomickým nástrojom samosprávy na plnenie svojich úloh a výkon kompetencií, pričom jeho dodržiavanie je jedným z predpoklado</w:t>
      </w:r>
      <w:r w:rsidR="009F3516">
        <w:rPr>
          <w:rFonts w:ascii="Times New Roman" w:hAnsi="Times New Roman" w:cs="Times New Roman"/>
        </w:rPr>
        <w:t xml:space="preserve">v ekonomickej stability mesta. </w:t>
      </w:r>
    </w:p>
    <w:p w:rsidR="00D85CB5" w:rsidRPr="000750E4" w:rsidRDefault="00D85CB5" w:rsidP="003B4C40">
      <w:pPr>
        <w:pStyle w:val="Default"/>
        <w:spacing w:line="276" w:lineRule="auto"/>
        <w:jc w:val="both"/>
        <w:rPr>
          <w:sz w:val="22"/>
          <w:szCs w:val="22"/>
        </w:rPr>
      </w:pPr>
    </w:p>
    <w:p w:rsidR="001D5FA2" w:rsidRPr="003D0CA3" w:rsidRDefault="00B57A53" w:rsidP="002131B6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  <w:r w:rsidRPr="009F3516">
        <w:rPr>
          <w:sz w:val="22"/>
          <w:szCs w:val="22"/>
        </w:rPr>
        <w:t>Programový rozpočet</w:t>
      </w:r>
      <w:r w:rsidRPr="000750E4">
        <w:rPr>
          <w:sz w:val="22"/>
          <w:szCs w:val="22"/>
        </w:rPr>
        <w:t xml:space="preserve"> bol schválený ako súčasť rozpočtu na rok </w:t>
      </w:r>
      <w:r w:rsidR="00687DCD">
        <w:rPr>
          <w:sz w:val="22"/>
          <w:szCs w:val="22"/>
        </w:rPr>
        <w:t>2019</w:t>
      </w:r>
      <w:r w:rsidR="00136CEC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s výhľadom na roky 20</w:t>
      </w:r>
      <w:r w:rsidR="00687DCD">
        <w:rPr>
          <w:sz w:val="22"/>
          <w:szCs w:val="22"/>
        </w:rPr>
        <w:t>20</w:t>
      </w:r>
      <w:r w:rsidRPr="000750E4">
        <w:rPr>
          <w:sz w:val="22"/>
          <w:szCs w:val="22"/>
        </w:rPr>
        <w:t>, 20</w:t>
      </w:r>
      <w:r w:rsidR="00136CEC">
        <w:rPr>
          <w:sz w:val="22"/>
          <w:szCs w:val="22"/>
        </w:rPr>
        <w:t>2</w:t>
      </w:r>
      <w:r w:rsidR="00687DCD">
        <w:rPr>
          <w:sz w:val="22"/>
          <w:szCs w:val="22"/>
        </w:rPr>
        <w:t>1</w:t>
      </w:r>
      <w:r w:rsidRPr="000750E4">
        <w:rPr>
          <w:sz w:val="22"/>
          <w:szCs w:val="22"/>
        </w:rPr>
        <w:t>. V súlade s</w:t>
      </w:r>
      <w:r w:rsidR="00136CEC">
        <w:rPr>
          <w:sz w:val="22"/>
          <w:szCs w:val="22"/>
        </w:rPr>
        <w:t> Príkazom primátora mesta č. 16/201</w:t>
      </w:r>
      <w:r w:rsidR="00ED271C">
        <w:rPr>
          <w:sz w:val="22"/>
          <w:szCs w:val="22"/>
        </w:rPr>
        <w:t>9</w:t>
      </w:r>
      <w:r w:rsidR="00136CEC">
        <w:rPr>
          <w:sz w:val="22"/>
          <w:szCs w:val="22"/>
        </w:rPr>
        <w:t xml:space="preserve"> zo dňa </w:t>
      </w:r>
      <w:r w:rsidR="00ED271C">
        <w:rPr>
          <w:sz w:val="22"/>
          <w:szCs w:val="22"/>
        </w:rPr>
        <w:t>19.6.2019</w:t>
      </w:r>
      <w:r w:rsidR="00C46D7F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bol monitoring plne</w:t>
      </w:r>
      <w:r w:rsidR="00E35E94" w:rsidRPr="000750E4">
        <w:rPr>
          <w:sz w:val="22"/>
          <w:szCs w:val="22"/>
        </w:rPr>
        <w:t>nia programového rozpočtu k 30.06.</w:t>
      </w:r>
      <w:r w:rsidRPr="000750E4">
        <w:rPr>
          <w:sz w:val="22"/>
          <w:szCs w:val="22"/>
        </w:rPr>
        <w:t>201</w:t>
      </w:r>
      <w:r w:rsidR="00ED271C">
        <w:rPr>
          <w:sz w:val="22"/>
          <w:szCs w:val="22"/>
        </w:rPr>
        <w:t>9</w:t>
      </w:r>
      <w:r w:rsidRPr="000750E4">
        <w:rPr>
          <w:sz w:val="22"/>
          <w:szCs w:val="22"/>
        </w:rPr>
        <w:t xml:space="preserve"> vykonaný a predložený na zasadnutí mestského zastupiteľstva dňa </w:t>
      </w:r>
      <w:r w:rsidR="000A2AC2">
        <w:rPr>
          <w:sz w:val="22"/>
          <w:szCs w:val="22"/>
        </w:rPr>
        <w:t>5.9.</w:t>
      </w:r>
      <w:r w:rsidR="00136CEC">
        <w:rPr>
          <w:sz w:val="22"/>
          <w:szCs w:val="22"/>
        </w:rPr>
        <w:t>201</w:t>
      </w:r>
      <w:r w:rsidR="000A2AC2">
        <w:rPr>
          <w:sz w:val="22"/>
          <w:szCs w:val="22"/>
        </w:rPr>
        <w:t>9</w:t>
      </w:r>
      <w:r w:rsidRPr="000750E4">
        <w:rPr>
          <w:sz w:val="22"/>
          <w:szCs w:val="22"/>
        </w:rPr>
        <w:t xml:space="preserve">. </w:t>
      </w:r>
      <w:r w:rsidR="00392FFE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Hodnotenie cieľov a merateľných ukazovateľov k 31.</w:t>
      </w:r>
      <w:r w:rsidR="00136CEC">
        <w:rPr>
          <w:sz w:val="22"/>
          <w:szCs w:val="22"/>
        </w:rPr>
        <w:t>12.</w:t>
      </w:r>
      <w:r w:rsidRPr="000750E4">
        <w:rPr>
          <w:sz w:val="22"/>
          <w:szCs w:val="22"/>
        </w:rPr>
        <w:t>201</w:t>
      </w:r>
      <w:r w:rsidR="000A2AC2">
        <w:rPr>
          <w:sz w:val="22"/>
          <w:szCs w:val="22"/>
        </w:rPr>
        <w:t>9</w:t>
      </w:r>
      <w:r w:rsidR="003C4460" w:rsidRPr="000750E4">
        <w:rPr>
          <w:sz w:val="22"/>
          <w:szCs w:val="22"/>
        </w:rPr>
        <w:t xml:space="preserve"> </w:t>
      </w:r>
      <w:r w:rsidRPr="000750E4">
        <w:rPr>
          <w:sz w:val="22"/>
          <w:szCs w:val="22"/>
        </w:rPr>
        <w:t>tvorí s</w:t>
      </w:r>
      <w:r w:rsidR="00E63B2D" w:rsidRPr="000750E4">
        <w:rPr>
          <w:sz w:val="22"/>
          <w:szCs w:val="22"/>
        </w:rPr>
        <w:t xml:space="preserve">účasť návrhu záverečného účtu. </w:t>
      </w:r>
      <w:r w:rsidR="00B803D0" w:rsidRPr="000750E4">
        <w:rPr>
          <w:sz w:val="22"/>
          <w:szCs w:val="22"/>
        </w:rPr>
        <w:t xml:space="preserve">Povinnosťou mesta bolo zmeny v prvotnom rozpočte premietnuť aj do programového rozpočtu. </w:t>
      </w:r>
      <w:r w:rsidR="003C4460" w:rsidRPr="003D0CA3">
        <w:rPr>
          <w:b/>
          <w:sz w:val="22"/>
          <w:szCs w:val="22"/>
        </w:rPr>
        <w:t>Na základe uvedeného je možné konštatovať</w:t>
      </w:r>
      <w:r w:rsidR="00B803D0" w:rsidRPr="003D0CA3">
        <w:rPr>
          <w:b/>
          <w:sz w:val="22"/>
          <w:szCs w:val="22"/>
        </w:rPr>
        <w:t>, že zmeny boli uskutočnené a výdavky spolu (bežné, kapitálové výdavky, FO výdavkov) sa rovnajú výdavkom</w:t>
      </w:r>
      <w:r w:rsidR="002131B6" w:rsidRPr="003D0CA3">
        <w:rPr>
          <w:b/>
          <w:sz w:val="22"/>
          <w:szCs w:val="22"/>
        </w:rPr>
        <w:t xml:space="preserve"> spolu v programovom rozpočte. </w:t>
      </w:r>
    </w:p>
    <w:p w:rsidR="001D5FA2" w:rsidRPr="000750E4" w:rsidRDefault="001D5FA2" w:rsidP="003B4C40">
      <w:pPr>
        <w:pStyle w:val="Default"/>
        <w:spacing w:line="276" w:lineRule="auto"/>
        <w:jc w:val="both"/>
        <w:rPr>
          <w:sz w:val="22"/>
          <w:szCs w:val="22"/>
        </w:rPr>
      </w:pPr>
    </w:p>
    <w:p w:rsidR="004E4CEE" w:rsidRPr="009F3516" w:rsidRDefault="00A739B7" w:rsidP="00A739B7">
      <w:pPr>
        <w:pStyle w:val="Default"/>
        <w:ind w:firstLine="708"/>
        <w:rPr>
          <w:iCs/>
          <w:sz w:val="22"/>
          <w:szCs w:val="22"/>
        </w:rPr>
      </w:pPr>
      <w:r w:rsidRPr="004B650F">
        <w:rPr>
          <w:iCs/>
          <w:sz w:val="22"/>
          <w:szCs w:val="22"/>
        </w:rPr>
        <w:t>Vyhodnotenie</w:t>
      </w:r>
      <w:r w:rsidRPr="009F3516">
        <w:rPr>
          <w:iCs/>
          <w:sz w:val="22"/>
          <w:szCs w:val="22"/>
        </w:rPr>
        <w:t xml:space="preserve"> plnenia programov rozpočtu </w:t>
      </w:r>
      <w:r w:rsidR="00AF44AD">
        <w:rPr>
          <w:iCs/>
          <w:sz w:val="22"/>
          <w:szCs w:val="22"/>
        </w:rPr>
        <w:t>v rokoch 2015</w:t>
      </w:r>
      <w:r w:rsidR="00CC7AAC" w:rsidRPr="009F3516">
        <w:rPr>
          <w:iCs/>
          <w:sz w:val="22"/>
          <w:szCs w:val="22"/>
        </w:rPr>
        <w:t xml:space="preserve"> – 201</w:t>
      </w:r>
      <w:r w:rsidR="00AF44AD">
        <w:rPr>
          <w:iCs/>
          <w:sz w:val="22"/>
          <w:szCs w:val="22"/>
        </w:rPr>
        <w:t>9</w:t>
      </w:r>
    </w:p>
    <w:p w:rsidR="00A739B7" w:rsidRPr="00A739B7" w:rsidRDefault="00DD26F9" w:rsidP="00A739B7">
      <w:pPr>
        <w:pStyle w:val="Default"/>
        <w:ind w:left="6372" w:firstLine="708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ab/>
      </w:r>
      <w:r w:rsidR="00A739B7">
        <w:rPr>
          <w:iCs/>
          <w:sz w:val="18"/>
          <w:szCs w:val="18"/>
        </w:rPr>
        <w:t>t</w:t>
      </w:r>
      <w:r w:rsidR="00A739B7" w:rsidRPr="00A739B7">
        <w:rPr>
          <w:iCs/>
          <w:sz w:val="18"/>
          <w:szCs w:val="18"/>
        </w:rPr>
        <w:t>ab.</w:t>
      </w:r>
      <w:r>
        <w:rPr>
          <w:iCs/>
          <w:sz w:val="18"/>
          <w:szCs w:val="18"/>
        </w:rPr>
        <w:t xml:space="preserve"> </w:t>
      </w:r>
      <w:r w:rsidR="00A739B7" w:rsidRPr="00A739B7">
        <w:rPr>
          <w:iCs/>
          <w:sz w:val="18"/>
          <w:szCs w:val="18"/>
        </w:rPr>
        <w:t>č. 1</w:t>
      </w:r>
      <w:r w:rsidR="005D1209">
        <w:rPr>
          <w:iCs/>
          <w:sz w:val="18"/>
          <w:szCs w:val="18"/>
        </w:rPr>
        <w:t>7</w:t>
      </w:r>
    </w:p>
    <w:tbl>
      <w:tblPr>
        <w:tblStyle w:val="Obyajntabuka1"/>
        <w:tblW w:w="9674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071"/>
        <w:gridCol w:w="1071"/>
        <w:gridCol w:w="1071"/>
        <w:gridCol w:w="1181"/>
        <w:gridCol w:w="1071"/>
        <w:gridCol w:w="954"/>
        <w:gridCol w:w="992"/>
      </w:tblGrid>
      <w:tr w:rsidR="00AF44AD" w:rsidRPr="003D0CA3" w:rsidTr="00FB5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3D0CA3" w:rsidRDefault="00AF44AD" w:rsidP="003D0CA3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3D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Číslo programu</w:t>
            </w:r>
          </w:p>
        </w:tc>
        <w:tc>
          <w:tcPr>
            <w:tcW w:w="1559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9F3516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Názov programu</w:t>
            </w:r>
          </w:p>
        </w:tc>
        <w:tc>
          <w:tcPr>
            <w:tcW w:w="1071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Výdavky skutočnosť 2015</w:t>
            </w:r>
          </w:p>
        </w:tc>
        <w:tc>
          <w:tcPr>
            <w:tcW w:w="1071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Výdavky skutočnosť 2016</w:t>
            </w:r>
          </w:p>
        </w:tc>
        <w:tc>
          <w:tcPr>
            <w:tcW w:w="1071" w:type="dxa"/>
            <w:hideMark/>
          </w:tcPr>
          <w:p w:rsidR="00AF44AD" w:rsidRPr="009F3516" w:rsidRDefault="00AF44AD" w:rsidP="00AF44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9F3516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Výdavky skutočnosť 201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1181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 w:rsidRPr="009F3516"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 xml:space="preserve">Výdavky 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skutočnosť 2018</w:t>
            </w:r>
          </w:p>
        </w:tc>
        <w:tc>
          <w:tcPr>
            <w:tcW w:w="1071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8"/>
                <w:szCs w:val="18"/>
                <w:lang w:eastAsia="sk-SK"/>
              </w:rPr>
              <w:t>Výdavky skutočnosť 2019</w:t>
            </w:r>
          </w:p>
        </w:tc>
        <w:tc>
          <w:tcPr>
            <w:tcW w:w="954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9F3516"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18"/>
                <w:szCs w:val="18"/>
                <w:lang w:eastAsia="sk-SK"/>
              </w:rPr>
              <w:t>% zmeny</w:t>
            </w:r>
          </w:p>
        </w:tc>
        <w:tc>
          <w:tcPr>
            <w:tcW w:w="992" w:type="dxa"/>
            <w:hideMark/>
          </w:tcPr>
          <w:p w:rsidR="00AF44AD" w:rsidRPr="009F3516" w:rsidRDefault="00AF44AD" w:rsidP="003D0C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9F3516">
              <w:rPr>
                <w:rFonts w:ascii="Times New Roman" w:eastAsia="Times New Roman" w:hAnsi="Times New Roman" w:cs="Times New Roman"/>
                <w:bCs w:val="0"/>
                <w:i/>
                <w:iCs/>
                <w:color w:val="000000"/>
                <w:sz w:val="18"/>
                <w:szCs w:val="18"/>
                <w:lang w:eastAsia="sk-SK"/>
              </w:rPr>
              <w:t>Nárast v €          -pokles v €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 xml:space="preserve">Činnosť </w:t>
            </w:r>
            <w:proofErr w:type="spellStart"/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MsZ</w:t>
            </w:r>
            <w:proofErr w:type="spellEnd"/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MsR</w:t>
            </w:r>
            <w:proofErr w:type="spellEnd"/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 xml:space="preserve"> a komisií </w:t>
            </w:r>
            <w:proofErr w:type="spellStart"/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MsZ</w:t>
            </w:r>
            <w:proofErr w:type="spellEnd"/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29 120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31 502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34 229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30 673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34 951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89,61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-3 556</w:t>
            </w:r>
          </w:p>
        </w:tc>
      </w:tr>
      <w:tr w:rsidR="00AF44AD" w:rsidRPr="003D0CA3" w:rsidTr="00FB50E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Samosprávne činnosti MsÚ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1 362 008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1 472 363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1 579 508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1 802 526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1 760 533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114,12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223 018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Služby občanom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733 035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789 905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818 763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879 234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1 046 485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107,39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60 471</w:t>
            </w:r>
          </w:p>
        </w:tc>
      </w:tr>
      <w:tr w:rsidR="00AF44AD" w:rsidRPr="003D0CA3" w:rsidTr="00FB50E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Interné služby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62 300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79 948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84 356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84 978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73 071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100,74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622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 xml:space="preserve">Bezpečnosť 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183 252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173 461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176 713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251 344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295 018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142,23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74 631</w:t>
            </w:r>
          </w:p>
        </w:tc>
      </w:tr>
      <w:tr w:rsidR="00AF44AD" w:rsidRPr="003D0CA3" w:rsidTr="00FB50ED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Menšie obecné služby a podpora regionálnej a miestnej zamestnanosti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141 376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160 027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173 654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192 079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182 348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110,61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18 425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Spoločný obecný úrad pre územné rozhodovanie a stavebný poriadok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93 988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120 884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127 827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131 572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141 716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102,93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3 745</w:t>
            </w:r>
          </w:p>
        </w:tc>
      </w:tr>
      <w:tr w:rsidR="00AF44AD" w:rsidRPr="003D0CA3" w:rsidTr="00FB50E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Doprava a pozemné komunikácie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321 123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375 744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652 240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681 606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280 663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104,50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29 366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Životné prostredie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475 614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484 019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510 383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553 462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563 727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108,44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43 079</w:t>
            </w:r>
          </w:p>
        </w:tc>
      </w:tr>
      <w:tr w:rsidR="00AF44AD" w:rsidRPr="003D0CA3" w:rsidTr="00FB50E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Rozvoj bývania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14 261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15 802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19 550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22 029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21 469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112,68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2 479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Šport a kultúra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424 370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395 365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411 368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529 230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540 927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128,65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117 862</w:t>
            </w:r>
          </w:p>
        </w:tc>
      </w:tr>
      <w:tr w:rsidR="00AF44AD" w:rsidRPr="003D0CA3" w:rsidTr="00FB50E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Školstvo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4 082 209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4 480 876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4 904 450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5 912 904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6 895 190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120,56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1 008 454</w:t>
            </w:r>
          </w:p>
        </w:tc>
      </w:tr>
      <w:tr w:rsidR="00AF44AD" w:rsidRPr="003D0CA3" w:rsidTr="00FB5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Sociálne služby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212 318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200 324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248 524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286 017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328 840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115,09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37 493</w:t>
            </w:r>
          </w:p>
        </w:tc>
      </w:tr>
      <w:tr w:rsidR="00AF44AD" w:rsidRPr="003D0CA3" w:rsidTr="00FB50E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:rsidR="00AF44AD" w:rsidRPr="00DE42B9" w:rsidRDefault="00AF44AD" w:rsidP="00AF44AD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6"/>
                <w:szCs w:val="16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 w:val="0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559" w:type="dxa"/>
            <w:hideMark/>
          </w:tcPr>
          <w:p w:rsidR="00AF44AD" w:rsidRPr="00DE42B9" w:rsidRDefault="00AF44AD" w:rsidP="00AF4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DE42B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Spolu výdavky programov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8 134 974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8 780 220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9 741 565</w:t>
            </w:r>
          </w:p>
        </w:tc>
        <w:tc>
          <w:tcPr>
            <w:tcW w:w="118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11 357 654</w:t>
            </w:r>
          </w:p>
        </w:tc>
        <w:tc>
          <w:tcPr>
            <w:tcW w:w="1071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12 164 938</w:t>
            </w:r>
          </w:p>
        </w:tc>
        <w:tc>
          <w:tcPr>
            <w:tcW w:w="954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116,59</w:t>
            </w:r>
          </w:p>
        </w:tc>
        <w:tc>
          <w:tcPr>
            <w:tcW w:w="992" w:type="dxa"/>
            <w:hideMark/>
          </w:tcPr>
          <w:p w:rsidR="00AF44AD" w:rsidRPr="00AF44AD" w:rsidRDefault="00AF44AD" w:rsidP="00AF44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AF44AD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1 616 089</w:t>
            </w:r>
          </w:p>
        </w:tc>
      </w:tr>
    </w:tbl>
    <w:p w:rsidR="000657C8" w:rsidRPr="00560165" w:rsidRDefault="000657C8" w:rsidP="00B803D0">
      <w:pPr>
        <w:pStyle w:val="Default"/>
        <w:ind w:firstLine="708"/>
        <w:jc w:val="both"/>
        <w:rPr>
          <w:sz w:val="16"/>
          <w:szCs w:val="16"/>
        </w:rPr>
      </w:pPr>
    </w:p>
    <w:p w:rsidR="000750E4" w:rsidRDefault="000750E4" w:rsidP="000657C8">
      <w:pPr>
        <w:pStyle w:val="Default"/>
        <w:jc w:val="both"/>
        <w:rPr>
          <w:b/>
          <w:iCs/>
          <w:smallCaps/>
          <w:sz w:val="26"/>
          <w:szCs w:val="26"/>
        </w:rPr>
      </w:pPr>
    </w:p>
    <w:p w:rsidR="00930546" w:rsidRPr="000657C8" w:rsidRDefault="000750E4" w:rsidP="000657C8">
      <w:pPr>
        <w:pStyle w:val="Default"/>
        <w:jc w:val="both"/>
        <w:rPr>
          <w:b/>
          <w:iCs/>
          <w:smallCaps/>
          <w:sz w:val="26"/>
          <w:szCs w:val="26"/>
        </w:rPr>
      </w:pPr>
      <w:r>
        <w:rPr>
          <w:b/>
          <w:iCs/>
          <w:smallCaps/>
          <w:sz w:val="26"/>
          <w:szCs w:val="26"/>
        </w:rPr>
        <w:t>Záverečné zh</w:t>
      </w:r>
      <w:r w:rsidR="000657C8" w:rsidRPr="000657C8">
        <w:rPr>
          <w:b/>
          <w:iCs/>
          <w:smallCaps/>
          <w:sz w:val="26"/>
          <w:szCs w:val="26"/>
        </w:rPr>
        <w:t>odnotenie dokumentu a odporúčania</w:t>
      </w:r>
    </w:p>
    <w:p w:rsidR="000657C8" w:rsidRDefault="000657C8" w:rsidP="00B803D0">
      <w:pPr>
        <w:pStyle w:val="Default"/>
        <w:ind w:firstLine="708"/>
        <w:jc w:val="both"/>
        <w:rPr>
          <w:sz w:val="23"/>
          <w:szCs w:val="23"/>
        </w:rPr>
      </w:pPr>
    </w:p>
    <w:p w:rsidR="00804429" w:rsidRPr="009F3516" w:rsidRDefault="00930546" w:rsidP="00804429">
      <w:pPr>
        <w:pStyle w:val="Default"/>
        <w:spacing w:line="276" w:lineRule="auto"/>
        <w:ind w:firstLine="708"/>
        <w:jc w:val="both"/>
        <w:rPr>
          <w:b/>
          <w:sz w:val="22"/>
          <w:szCs w:val="22"/>
        </w:rPr>
      </w:pPr>
      <w:r w:rsidRPr="000750E4">
        <w:rPr>
          <w:rFonts w:eastAsia="Times New Roman"/>
          <w:sz w:val="22"/>
          <w:szCs w:val="22"/>
          <w:lang w:eastAsia="sk-SK"/>
        </w:rPr>
        <w:t>Dokument „</w:t>
      </w:r>
      <w:r w:rsidR="00C73B28" w:rsidRPr="000750E4">
        <w:rPr>
          <w:rFonts w:eastAsia="Times New Roman"/>
          <w:sz w:val="22"/>
          <w:szCs w:val="22"/>
          <w:lang w:eastAsia="sk-SK"/>
        </w:rPr>
        <w:t>Záverečný ú</w:t>
      </w:r>
      <w:r w:rsidR="00DB675F">
        <w:rPr>
          <w:rFonts w:eastAsia="Times New Roman"/>
          <w:sz w:val="22"/>
          <w:szCs w:val="22"/>
          <w:lang w:eastAsia="sk-SK"/>
        </w:rPr>
        <w:t>čet a výročná správa za rok 201</w:t>
      </w:r>
      <w:r w:rsidR="00CC252E">
        <w:rPr>
          <w:rFonts w:eastAsia="Times New Roman"/>
          <w:sz w:val="22"/>
          <w:szCs w:val="22"/>
          <w:lang w:eastAsia="sk-SK"/>
        </w:rPr>
        <w:t>9“</w:t>
      </w:r>
      <w:r w:rsidRPr="000750E4">
        <w:rPr>
          <w:rFonts w:eastAsia="Times New Roman"/>
          <w:sz w:val="22"/>
          <w:szCs w:val="22"/>
          <w:lang w:eastAsia="sk-SK"/>
        </w:rPr>
        <w:t xml:space="preserve"> </w:t>
      </w:r>
      <w:r w:rsidR="003B4C40" w:rsidRPr="000750E4">
        <w:rPr>
          <w:rFonts w:eastAsia="Times New Roman"/>
          <w:sz w:val="22"/>
          <w:szCs w:val="22"/>
          <w:lang w:eastAsia="sk-SK"/>
        </w:rPr>
        <w:t xml:space="preserve">spolu s prílohami </w:t>
      </w:r>
      <w:r w:rsidRPr="000750E4">
        <w:rPr>
          <w:rFonts w:eastAsia="Times New Roman"/>
          <w:sz w:val="22"/>
          <w:szCs w:val="22"/>
          <w:lang w:eastAsia="sk-SK"/>
        </w:rPr>
        <w:t xml:space="preserve">je spracovaný na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požadovanej odbornej, kvalitatívnej s uvedením číselných a analytických hodnôt, </w:t>
      </w:r>
      <w:r w:rsidRPr="000750E4">
        <w:rPr>
          <w:b/>
          <w:iCs/>
          <w:sz w:val="22"/>
          <w:szCs w:val="22"/>
        </w:rPr>
        <w:t>doplnený o textovú časť zhodnotenia dosiahnutého stavu, príp. číselných a štatistických hodnôt so zdô</w:t>
      </w:r>
      <w:r w:rsidR="001B7982">
        <w:rPr>
          <w:b/>
          <w:iCs/>
          <w:sz w:val="22"/>
          <w:szCs w:val="22"/>
        </w:rPr>
        <w:t xml:space="preserve">vodnením vykazovaných rozdielov </w:t>
      </w:r>
      <w:r w:rsidRPr="000750E4">
        <w:rPr>
          <w:b/>
          <w:iCs/>
          <w:sz w:val="22"/>
          <w:szCs w:val="22"/>
        </w:rPr>
        <w:t>v klesajúcich alebo narastajúcich trendoch položiek</w:t>
      </w:r>
      <w:r w:rsidRPr="000750E4">
        <w:rPr>
          <w:rFonts w:eastAsia="Times New Roman"/>
          <w:sz w:val="22"/>
          <w:szCs w:val="22"/>
          <w:lang w:eastAsia="sk-SK"/>
        </w:rPr>
        <w:t xml:space="preserve">. </w:t>
      </w:r>
      <w:r w:rsidR="00FB50ED">
        <w:rPr>
          <w:rFonts w:eastAsia="Times New Roman"/>
          <w:sz w:val="22"/>
          <w:szCs w:val="22"/>
          <w:lang w:eastAsia="sk-SK"/>
        </w:rPr>
        <w:t xml:space="preserve">Dokument obsahuje dostatok číselných a štatistických údajov, ktoré môžu byť zdravým základom pre </w:t>
      </w:r>
      <w:r w:rsidR="007C0F4E">
        <w:rPr>
          <w:rFonts w:eastAsia="Times New Roman"/>
          <w:sz w:val="22"/>
          <w:szCs w:val="22"/>
          <w:lang w:eastAsia="sk-SK"/>
        </w:rPr>
        <w:t>ďalšie analytické spracovanie dát</w:t>
      </w:r>
      <w:r w:rsidR="00FB50ED">
        <w:rPr>
          <w:rFonts w:eastAsia="Times New Roman"/>
          <w:sz w:val="22"/>
          <w:szCs w:val="22"/>
          <w:lang w:eastAsia="sk-SK"/>
        </w:rPr>
        <w:t xml:space="preserve">, získavanie aktuálnych dát a vyhodnotení ako vhodný manažérsky nástroj pre komplexné riadenie hospodárenia mesta v spojení s obchodnými spoločnosťami, príspevkovou spoločnosťou a školskými zariadeniami. </w:t>
      </w:r>
      <w:r w:rsidRPr="000750E4">
        <w:rPr>
          <w:rFonts w:eastAsia="Times New Roman"/>
          <w:sz w:val="22"/>
          <w:szCs w:val="22"/>
          <w:lang w:eastAsia="sk-SK"/>
        </w:rPr>
        <w:t xml:space="preserve">Hodnotenie programov rozpočtu je spracované podrobne. </w:t>
      </w:r>
      <w:r w:rsidR="00B57A53" w:rsidRPr="000750E4">
        <w:rPr>
          <w:sz w:val="22"/>
          <w:szCs w:val="22"/>
        </w:rPr>
        <w:t xml:space="preserve">Hodnotenie programového rozpočtu je spracované samostatne </w:t>
      </w:r>
      <w:r w:rsidR="00B803D0" w:rsidRPr="000750E4">
        <w:rPr>
          <w:sz w:val="22"/>
          <w:szCs w:val="22"/>
        </w:rPr>
        <w:t xml:space="preserve">od strany č. </w:t>
      </w:r>
      <w:r w:rsidR="00C73B28" w:rsidRPr="000750E4">
        <w:rPr>
          <w:sz w:val="22"/>
          <w:szCs w:val="22"/>
        </w:rPr>
        <w:t>9</w:t>
      </w:r>
      <w:r w:rsidR="00B803D0" w:rsidRPr="000750E4">
        <w:rPr>
          <w:sz w:val="22"/>
          <w:szCs w:val="22"/>
        </w:rPr>
        <w:t xml:space="preserve"> ako súčasť z</w:t>
      </w:r>
      <w:r w:rsidR="00B57A53" w:rsidRPr="000750E4">
        <w:rPr>
          <w:sz w:val="22"/>
          <w:szCs w:val="22"/>
        </w:rPr>
        <w:t>áverečného účtu</w:t>
      </w:r>
      <w:r w:rsidR="00B803D0" w:rsidRPr="000750E4">
        <w:rPr>
          <w:sz w:val="22"/>
          <w:szCs w:val="22"/>
        </w:rPr>
        <w:t xml:space="preserve"> mesta</w:t>
      </w:r>
      <w:r w:rsidR="00B57A53" w:rsidRPr="000750E4">
        <w:rPr>
          <w:sz w:val="22"/>
          <w:szCs w:val="22"/>
        </w:rPr>
        <w:t xml:space="preserve">. </w:t>
      </w:r>
      <w:r w:rsidR="00C73B28" w:rsidRPr="000750E4">
        <w:rPr>
          <w:sz w:val="22"/>
          <w:szCs w:val="22"/>
        </w:rPr>
        <w:t>Dokument p</w:t>
      </w:r>
      <w:r w:rsidR="00B57A53" w:rsidRPr="000750E4">
        <w:rPr>
          <w:sz w:val="22"/>
          <w:szCs w:val="22"/>
        </w:rPr>
        <w:t xml:space="preserve">odáva </w:t>
      </w:r>
      <w:r w:rsidR="00B57A53" w:rsidRPr="000750E4">
        <w:rPr>
          <w:b/>
          <w:sz w:val="22"/>
          <w:szCs w:val="22"/>
        </w:rPr>
        <w:t>komplexný prehľad o</w:t>
      </w:r>
      <w:r w:rsidR="00C30EB4" w:rsidRPr="000750E4">
        <w:rPr>
          <w:b/>
          <w:sz w:val="22"/>
          <w:szCs w:val="22"/>
        </w:rPr>
        <w:t xml:space="preserve"> štruktúrovanom </w:t>
      </w:r>
      <w:r w:rsidR="00B57A53" w:rsidRPr="000750E4">
        <w:rPr>
          <w:b/>
          <w:sz w:val="22"/>
          <w:szCs w:val="22"/>
        </w:rPr>
        <w:t>použití fi</w:t>
      </w:r>
      <w:r w:rsidR="00C73B28" w:rsidRPr="000750E4">
        <w:rPr>
          <w:b/>
          <w:sz w:val="22"/>
          <w:szCs w:val="22"/>
        </w:rPr>
        <w:t>nančných prostriedkov, navádza čitateľa uvažovať o</w:t>
      </w:r>
      <w:r w:rsidR="00C30EB4" w:rsidRPr="000750E4">
        <w:rPr>
          <w:b/>
          <w:sz w:val="22"/>
          <w:szCs w:val="22"/>
        </w:rPr>
        <w:t xml:space="preserve"> účelovosti, </w:t>
      </w:r>
      <w:r w:rsidR="00B57A53" w:rsidRPr="000750E4">
        <w:rPr>
          <w:b/>
          <w:sz w:val="22"/>
          <w:szCs w:val="22"/>
        </w:rPr>
        <w:t>hospodárnos</w:t>
      </w:r>
      <w:r w:rsidR="00C73B28" w:rsidRPr="000750E4">
        <w:rPr>
          <w:b/>
          <w:sz w:val="22"/>
          <w:szCs w:val="22"/>
        </w:rPr>
        <w:t>ti</w:t>
      </w:r>
      <w:r w:rsidR="00B57A53" w:rsidRPr="000750E4">
        <w:rPr>
          <w:b/>
          <w:sz w:val="22"/>
          <w:szCs w:val="22"/>
        </w:rPr>
        <w:t xml:space="preserve"> </w:t>
      </w:r>
      <w:r w:rsidR="000B32D5" w:rsidRPr="000750E4">
        <w:rPr>
          <w:b/>
          <w:sz w:val="22"/>
          <w:szCs w:val="22"/>
        </w:rPr>
        <w:t xml:space="preserve">prípadne </w:t>
      </w:r>
      <w:r w:rsidR="00C73B28" w:rsidRPr="000750E4">
        <w:rPr>
          <w:b/>
          <w:sz w:val="22"/>
          <w:szCs w:val="22"/>
        </w:rPr>
        <w:t>účelnosti</w:t>
      </w:r>
      <w:r w:rsidR="00B57A53" w:rsidRPr="000750E4">
        <w:rPr>
          <w:b/>
          <w:sz w:val="22"/>
          <w:szCs w:val="22"/>
        </w:rPr>
        <w:t xml:space="preserve"> vynaložených finančných prostriedkov, </w:t>
      </w:r>
      <w:r w:rsidR="000B32D5" w:rsidRPr="000750E4">
        <w:rPr>
          <w:b/>
          <w:sz w:val="22"/>
          <w:szCs w:val="22"/>
        </w:rPr>
        <w:t xml:space="preserve">naplnení </w:t>
      </w:r>
      <w:r w:rsidR="00B57A53" w:rsidRPr="000750E4">
        <w:rPr>
          <w:b/>
          <w:sz w:val="22"/>
          <w:szCs w:val="22"/>
        </w:rPr>
        <w:t xml:space="preserve">vytýčených zámerov, priorít </w:t>
      </w:r>
      <w:r w:rsidR="000B32D5" w:rsidRPr="000750E4">
        <w:rPr>
          <w:b/>
          <w:sz w:val="22"/>
          <w:szCs w:val="22"/>
        </w:rPr>
        <w:t xml:space="preserve">a cieľov </w:t>
      </w:r>
      <w:r w:rsidR="00804429">
        <w:rPr>
          <w:b/>
          <w:sz w:val="22"/>
          <w:szCs w:val="22"/>
        </w:rPr>
        <w:t xml:space="preserve">mesta, </w:t>
      </w:r>
      <w:r w:rsidR="000B32D5" w:rsidRPr="000750E4">
        <w:rPr>
          <w:b/>
          <w:sz w:val="22"/>
          <w:szCs w:val="22"/>
        </w:rPr>
        <w:t>hodnotení miery</w:t>
      </w:r>
      <w:r w:rsidR="00C73B28" w:rsidRPr="000750E4">
        <w:rPr>
          <w:b/>
          <w:sz w:val="22"/>
          <w:szCs w:val="22"/>
        </w:rPr>
        <w:t xml:space="preserve"> uspokojenia v oblasti </w:t>
      </w:r>
      <w:r w:rsidR="000B32D5" w:rsidRPr="000750E4">
        <w:rPr>
          <w:b/>
          <w:sz w:val="22"/>
          <w:szCs w:val="22"/>
        </w:rPr>
        <w:t xml:space="preserve">dosahovaných jednoročných </w:t>
      </w:r>
      <w:r w:rsidR="00B57A53" w:rsidRPr="000750E4">
        <w:rPr>
          <w:b/>
          <w:sz w:val="22"/>
          <w:szCs w:val="22"/>
        </w:rPr>
        <w:t>cieľov</w:t>
      </w:r>
      <w:r w:rsidR="00B57A53" w:rsidRPr="000750E4">
        <w:rPr>
          <w:sz w:val="22"/>
          <w:szCs w:val="22"/>
        </w:rPr>
        <w:t xml:space="preserve">. </w:t>
      </w:r>
      <w:r w:rsidR="00804429">
        <w:rPr>
          <w:sz w:val="22"/>
          <w:szCs w:val="22"/>
        </w:rPr>
        <w:t xml:space="preserve">V oblasti hodnotenia programov rozpočtu autor uvádza </w:t>
      </w:r>
      <w:r w:rsidR="00804429" w:rsidRPr="009F3516">
        <w:rPr>
          <w:b/>
          <w:sz w:val="22"/>
          <w:szCs w:val="22"/>
        </w:rPr>
        <w:t xml:space="preserve">autonómne </w:t>
      </w:r>
      <w:r w:rsidR="00804429">
        <w:rPr>
          <w:b/>
          <w:sz w:val="22"/>
          <w:szCs w:val="22"/>
        </w:rPr>
        <w:t xml:space="preserve">hodnotenie, resp. sebahodnotenie, čo </w:t>
      </w:r>
      <w:r w:rsidR="00232ABE">
        <w:rPr>
          <w:b/>
          <w:sz w:val="22"/>
          <w:szCs w:val="22"/>
        </w:rPr>
        <w:t>ne</w:t>
      </w:r>
      <w:r w:rsidR="00804429">
        <w:rPr>
          <w:b/>
          <w:sz w:val="22"/>
          <w:szCs w:val="22"/>
        </w:rPr>
        <w:t>vytvára pred</w:t>
      </w:r>
      <w:r w:rsidR="00232ABE">
        <w:rPr>
          <w:b/>
          <w:sz w:val="22"/>
          <w:szCs w:val="22"/>
        </w:rPr>
        <w:t xml:space="preserve">poklady na ďalšiu sebareflexiu, skôr poskytuje možnosť pre </w:t>
      </w:r>
      <w:r w:rsidR="00804429">
        <w:rPr>
          <w:b/>
          <w:sz w:val="22"/>
          <w:szCs w:val="22"/>
        </w:rPr>
        <w:t xml:space="preserve">kritické myslenia z externého prostredia. </w:t>
      </w:r>
    </w:p>
    <w:p w:rsidR="00392FFE" w:rsidRPr="000750E4" w:rsidRDefault="00392FFE" w:rsidP="006D0218">
      <w:pPr>
        <w:pStyle w:val="Default"/>
        <w:spacing w:line="276" w:lineRule="auto"/>
        <w:jc w:val="both"/>
        <w:rPr>
          <w:sz w:val="22"/>
          <w:szCs w:val="22"/>
        </w:rPr>
      </w:pPr>
    </w:p>
    <w:p w:rsidR="00C73B28" w:rsidRPr="000750E4" w:rsidRDefault="00C73B28" w:rsidP="006D0218">
      <w:pPr>
        <w:pStyle w:val="Default"/>
        <w:spacing w:line="276" w:lineRule="auto"/>
        <w:ind w:firstLine="708"/>
        <w:jc w:val="both"/>
        <w:rPr>
          <w:bCs/>
          <w:sz w:val="22"/>
          <w:szCs w:val="22"/>
        </w:rPr>
      </w:pPr>
      <w:r w:rsidRPr="000750E4">
        <w:rPr>
          <w:bCs/>
          <w:sz w:val="22"/>
          <w:szCs w:val="22"/>
        </w:rPr>
        <w:t xml:space="preserve">Existencia majetku a tvorba vlastných finančných zdrojov </w:t>
      </w:r>
      <w:r w:rsidR="00804429">
        <w:rPr>
          <w:bCs/>
          <w:sz w:val="22"/>
          <w:szCs w:val="22"/>
        </w:rPr>
        <w:t xml:space="preserve">aj </w:t>
      </w:r>
      <w:r w:rsidRPr="000750E4">
        <w:rPr>
          <w:bCs/>
          <w:sz w:val="22"/>
          <w:szCs w:val="22"/>
        </w:rPr>
        <w:t xml:space="preserve">prostredníctvom </w:t>
      </w:r>
      <w:r w:rsidR="00804429" w:rsidRPr="00804429">
        <w:rPr>
          <w:b/>
          <w:bCs/>
          <w:sz w:val="22"/>
          <w:szCs w:val="22"/>
        </w:rPr>
        <w:t>viaczdrojového financovania z</w:t>
      </w:r>
      <w:r w:rsidR="00804429">
        <w:rPr>
          <w:b/>
          <w:bCs/>
          <w:sz w:val="22"/>
          <w:szCs w:val="22"/>
        </w:rPr>
        <w:t> iných zdrojov</w:t>
      </w:r>
      <w:r w:rsidR="00804429">
        <w:rPr>
          <w:bCs/>
          <w:sz w:val="22"/>
          <w:szCs w:val="22"/>
        </w:rPr>
        <w:t xml:space="preserve">, nielen z výnosov z majetku, </w:t>
      </w:r>
      <w:r w:rsidR="007C0F4E">
        <w:rPr>
          <w:bCs/>
          <w:sz w:val="22"/>
          <w:szCs w:val="22"/>
        </w:rPr>
        <w:t>vedie</w:t>
      </w:r>
      <w:r w:rsidRPr="000750E4">
        <w:rPr>
          <w:bCs/>
          <w:sz w:val="22"/>
          <w:szCs w:val="22"/>
        </w:rPr>
        <w:t xml:space="preserve"> k znižovaniu závislostí </w:t>
      </w:r>
      <w:r w:rsidR="00BF2EFE">
        <w:rPr>
          <w:bCs/>
          <w:sz w:val="22"/>
          <w:szCs w:val="22"/>
        </w:rPr>
        <w:t xml:space="preserve">mesta </w:t>
      </w:r>
      <w:r w:rsidRPr="000750E4">
        <w:rPr>
          <w:bCs/>
          <w:sz w:val="22"/>
          <w:szCs w:val="22"/>
        </w:rPr>
        <w:t xml:space="preserve"> na </w:t>
      </w:r>
      <w:r w:rsidR="00804429">
        <w:rPr>
          <w:bCs/>
          <w:sz w:val="22"/>
          <w:szCs w:val="22"/>
        </w:rPr>
        <w:t>vlastných a cudzích príjmov kapitálového rozpočtu</w:t>
      </w:r>
      <w:r w:rsidRPr="000750E4">
        <w:rPr>
          <w:bCs/>
          <w:sz w:val="22"/>
          <w:szCs w:val="22"/>
        </w:rPr>
        <w:t>. Jednou z možností je aj efektívne využívanie majetku, s cieľom získať z neho čo najväčší prospech v podobe ekonomického, spoločenského aj územného rozvoja.</w:t>
      </w:r>
      <w:r w:rsidR="00EA135B">
        <w:rPr>
          <w:bCs/>
          <w:sz w:val="22"/>
          <w:szCs w:val="22"/>
        </w:rPr>
        <w:t xml:space="preserve"> A to by mohlo byť úlohou najbližších rozpočtových období. </w:t>
      </w:r>
      <w:r w:rsidRPr="000750E4">
        <w:rPr>
          <w:bCs/>
          <w:sz w:val="22"/>
          <w:szCs w:val="22"/>
        </w:rPr>
        <w:t xml:space="preserve">  </w:t>
      </w:r>
    </w:p>
    <w:p w:rsidR="00C73B28" w:rsidRPr="000750E4" w:rsidRDefault="00C73B28" w:rsidP="006D0218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930546" w:rsidRPr="000750E4" w:rsidRDefault="00930546" w:rsidP="006D0218">
      <w:pPr>
        <w:pStyle w:val="Default"/>
        <w:spacing w:line="276" w:lineRule="auto"/>
        <w:ind w:firstLine="708"/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b/>
          <w:sz w:val="22"/>
          <w:szCs w:val="22"/>
          <w:lang w:eastAsia="sk-SK"/>
        </w:rPr>
        <w:t xml:space="preserve">Pri vybraných ukazovateľoch čerpania </w:t>
      </w:r>
      <w:r w:rsidR="000B32D5" w:rsidRPr="000750E4">
        <w:rPr>
          <w:rFonts w:eastAsia="Times New Roman"/>
          <w:b/>
          <w:sz w:val="22"/>
          <w:szCs w:val="22"/>
          <w:lang w:eastAsia="sk-SK"/>
        </w:rPr>
        <w:t xml:space="preserve">štruktúrovaných </w:t>
      </w:r>
      <w:r w:rsidRPr="000750E4">
        <w:rPr>
          <w:rFonts w:eastAsia="Times New Roman"/>
          <w:b/>
          <w:sz w:val="22"/>
          <w:szCs w:val="22"/>
          <w:lang w:eastAsia="sk-SK"/>
        </w:rPr>
        <w:t>položiek rozpočtu je evidentný výsledok proklamovaných výhod programového</w:t>
      </w:r>
      <w:r w:rsidR="000B32D5" w:rsidRPr="000750E4">
        <w:rPr>
          <w:rFonts w:eastAsia="Times New Roman"/>
          <w:b/>
          <w:sz w:val="22"/>
          <w:szCs w:val="22"/>
          <w:lang w:eastAsia="sk-SK"/>
        </w:rPr>
        <w:t xml:space="preserve">, </w:t>
      </w:r>
      <w:r w:rsidRPr="000750E4">
        <w:rPr>
          <w:rFonts w:eastAsia="Times New Roman"/>
          <w:b/>
          <w:sz w:val="22"/>
          <w:szCs w:val="22"/>
          <w:lang w:eastAsia="sk-SK"/>
        </w:rPr>
        <w:t>viacročného rozpočtovania</w:t>
      </w:r>
      <w:r w:rsidRPr="000750E4">
        <w:rPr>
          <w:rFonts w:eastAsia="Times New Roman"/>
          <w:sz w:val="22"/>
          <w:szCs w:val="22"/>
          <w:lang w:eastAsia="sk-SK"/>
        </w:rPr>
        <w:t xml:space="preserve">. </w:t>
      </w:r>
      <w:r w:rsidR="000B32D5" w:rsidRPr="000750E4">
        <w:rPr>
          <w:rFonts w:eastAsia="Times New Roman"/>
          <w:sz w:val="22"/>
          <w:szCs w:val="22"/>
          <w:lang w:eastAsia="sk-SK"/>
        </w:rPr>
        <w:t>H</w:t>
      </w:r>
      <w:r w:rsidRPr="000750E4">
        <w:rPr>
          <w:rFonts w:eastAsia="Times New Roman"/>
          <w:sz w:val="22"/>
          <w:szCs w:val="22"/>
          <w:lang w:eastAsia="sk-SK"/>
        </w:rPr>
        <w:t xml:space="preserve">odnotenie </w:t>
      </w:r>
      <w:r w:rsidR="000B32D5" w:rsidRPr="000750E4">
        <w:rPr>
          <w:rFonts w:eastAsia="Times New Roman"/>
          <w:sz w:val="22"/>
          <w:szCs w:val="22"/>
          <w:lang w:eastAsia="sk-SK"/>
        </w:rPr>
        <w:t xml:space="preserve">výsledkov </w:t>
      </w:r>
      <w:r w:rsidRPr="000750E4">
        <w:rPr>
          <w:rFonts w:eastAsia="Times New Roman"/>
          <w:sz w:val="22"/>
          <w:szCs w:val="22"/>
          <w:lang w:eastAsia="sk-SK"/>
        </w:rPr>
        <w:t>je</w:t>
      </w:r>
      <w:r w:rsidR="00EA135B">
        <w:rPr>
          <w:rFonts w:eastAsia="Times New Roman"/>
          <w:b/>
          <w:sz w:val="22"/>
          <w:szCs w:val="22"/>
          <w:lang w:eastAsia="sk-SK"/>
        </w:rPr>
        <w:t xml:space="preserve"> zrejmé z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plnenia programov, aktivít a viditeľné v širšom časovom kontexte, </w:t>
      </w:r>
      <w:r w:rsidR="006A3EFE" w:rsidRPr="000750E4">
        <w:rPr>
          <w:rFonts w:eastAsia="Times New Roman"/>
          <w:b/>
          <w:sz w:val="22"/>
          <w:szCs w:val="22"/>
          <w:lang w:eastAsia="sk-SK"/>
        </w:rPr>
        <w:t>čo</w:t>
      </w:r>
      <w:r w:rsidR="00EA135B">
        <w:rPr>
          <w:rFonts w:eastAsia="Times New Roman"/>
          <w:b/>
          <w:sz w:val="22"/>
          <w:szCs w:val="22"/>
          <w:lang w:eastAsia="sk-SK"/>
        </w:rPr>
        <w:t xml:space="preserve"> je vhodným nástrojom na štatistické vyhodnotenie výsledkov, ale aj </w:t>
      </w:r>
      <w:r w:rsidRPr="000750E4">
        <w:rPr>
          <w:rFonts w:eastAsia="Times New Roman"/>
          <w:b/>
          <w:sz w:val="22"/>
          <w:szCs w:val="22"/>
          <w:lang w:eastAsia="sk-SK"/>
        </w:rPr>
        <w:t xml:space="preserve">manažérske riadenie rozpočtu mesta v dlhšom časovom období. </w:t>
      </w:r>
      <w:r w:rsidR="00492EE1" w:rsidRPr="000750E4">
        <w:rPr>
          <w:rFonts w:eastAsia="Times New Roman"/>
          <w:b/>
          <w:sz w:val="22"/>
          <w:szCs w:val="22"/>
          <w:lang w:eastAsia="sk-SK"/>
        </w:rPr>
        <w:t xml:space="preserve"> </w:t>
      </w:r>
    </w:p>
    <w:p w:rsidR="00930546" w:rsidRPr="000750E4" w:rsidRDefault="00930546" w:rsidP="006D0218">
      <w:pPr>
        <w:pStyle w:val="Default"/>
        <w:spacing w:line="276" w:lineRule="auto"/>
        <w:jc w:val="both"/>
        <w:rPr>
          <w:sz w:val="22"/>
          <w:szCs w:val="22"/>
        </w:rPr>
      </w:pPr>
    </w:p>
    <w:p w:rsidR="005A13DE" w:rsidRPr="000750E4" w:rsidRDefault="00FF5014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ab/>
      </w:r>
      <w:r w:rsidR="00B57A53" w:rsidRPr="000750E4">
        <w:rPr>
          <w:b/>
          <w:bCs/>
          <w:sz w:val="22"/>
          <w:szCs w:val="22"/>
        </w:rPr>
        <w:t>Spracované hodnotenie plnenia vytýčených zámerov a dosiahnutých cie</w:t>
      </w:r>
      <w:r w:rsidR="005A13DE" w:rsidRPr="000750E4">
        <w:rPr>
          <w:b/>
          <w:bCs/>
          <w:sz w:val="22"/>
          <w:szCs w:val="22"/>
        </w:rPr>
        <w:t xml:space="preserve">ľov v jednotlivých programoch, </w:t>
      </w:r>
      <w:r w:rsidR="00B57A53" w:rsidRPr="000750E4">
        <w:rPr>
          <w:b/>
          <w:bCs/>
          <w:sz w:val="22"/>
          <w:szCs w:val="22"/>
        </w:rPr>
        <w:t>rozpracované do podprogramo</w:t>
      </w:r>
      <w:r w:rsidR="003B4C40" w:rsidRPr="000750E4">
        <w:rPr>
          <w:b/>
          <w:bCs/>
          <w:sz w:val="22"/>
          <w:szCs w:val="22"/>
        </w:rPr>
        <w:t xml:space="preserve">v a prvkov </w:t>
      </w:r>
      <w:r w:rsidR="005A13DE" w:rsidRPr="000750E4">
        <w:rPr>
          <w:b/>
          <w:bCs/>
          <w:sz w:val="22"/>
          <w:szCs w:val="22"/>
        </w:rPr>
        <w:t xml:space="preserve">vytvorilo podmienky pre </w:t>
      </w:r>
      <w:r w:rsidRPr="000750E4">
        <w:rPr>
          <w:b/>
          <w:bCs/>
          <w:sz w:val="22"/>
          <w:szCs w:val="22"/>
        </w:rPr>
        <w:t xml:space="preserve">detailné bilančné a štatistické zhodnotenie, zároveň </w:t>
      </w:r>
      <w:r w:rsidR="005A13DE" w:rsidRPr="000750E4">
        <w:rPr>
          <w:b/>
          <w:bCs/>
          <w:sz w:val="22"/>
          <w:szCs w:val="22"/>
        </w:rPr>
        <w:t>poslúžilo ako vhodný</w:t>
      </w:r>
      <w:r w:rsidRPr="000750E4">
        <w:rPr>
          <w:b/>
          <w:bCs/>
          <w:sz w:val="22"/>
          <w:szCs w:val="22"/>
        </w:rPr>
        <w:t xml:space="preserve"> textový opis zmeny</w:t>
      </w:r>
      <w:r w:rsidR="006A3EFE" w:rsidRPr="000750E4">
        <w:rPr>
          <w:b/>
          <w:bCs/>
          <w:sz w:val="22"/>
          <w:szCs w:val="22"/>
        </w:rPr>
        <w:t xml:space="preserve"> výsledkov, výstupov</w:t>
      </w:r>
      <w:r w:rsidR="005A13DE" w:rsidRPr="000750E4">
        <w:rPr>
          <w:b/>
          <w:bCs/>
          <w:sz w:val="22"/>
          <w:szCs w:val="22"/>
        </w:rPr>
        <w:t xml:space="preserve">. </w:t>
      </w:r>
      <w:r w:rsidR="00B57A53" w:rsidRPr="000750E4">
        <w:rPr>
          <w:b/>
          <w:bCs/>
          <w:sz w:val="22"/>
          <w:szCs w:val="22"/>
        </w:rPr>
        <w:t xml:space="preserve"> </w:t>
      </w:r>
      <w:r w:rsidR="000B32D5" w:rsidRPr="000750E4">
        <w:rPr>
          <w:b/>
          <w:bCs/>
          <w:sz w:val="22"/>
          <w:szCs w:val="22"/>
        </w:rPr>
        <w:t xml:space="preserve">Štruktúrované aj cyklické, </w:t>
      </w:r>
      <w:r w:rsidR="00A10E1C">
        <w:rPr>
          <w:b/>
          <w:bCs/>
          <w:sz w:val="22"/>
          <w:szCs w:val="22"/>
        </w:rPr>
        <w:t xml:space="preserve">štatistické </w:t>
      </w:r>
      <w:r w:rsidR="007C0F4E">
        <w:rPr>
          <w:b/>
          <w:bCs/>
          <w:sz w:val="22"/>
          <w:szCs w:val="22"/>
        </w:rPr>
        <w:t>z</w:t>
      </w:r>
      <w:r w:rsidR="00A10E1C">
        <w:rPr>
          <w:b/>
          <w:bCs/>
          <w:sz w:val="22"/>
          <w:szCs w:val="22"/>
        </w:rPr>
        <w:t xml:space="preserve">hodnotenia, </w:t>
      </w:r>
      <w:r w:rsidR="005A13DE" w:rsidRPr="000750E4">
        <w:rPr>
          <w:b/>
          <w:bCs/>
          <w:sz w:val="22"/>
          <w:szCs w:val="22"/>
        </w:rPr>
        <w:t>príslušné zdôvodnenia</w:t>
      </w:r>
      <w:r w:rsidR="00EA135B">
        <w:rPr>
          <w:b/>
          <w:bCs/>
          <w:sz w:val="22"/>
          <w:szCs w:val="22"/>
        </w:rPr>
        <w:t xml:space="preserve"> je možné považovať za dost</w:t>
      </w:r>
      <w:r w:rsidR="00A10E1C">
        <w:rPr>
          <w:b/>
          <w:bCs/>
          <w:sz w:val="22"/>
          <w:szCs w:val="22"/>
        </w:rPr>
        <w:t xml:space="preserve">atočný základ pre </w:t>
      </w:r>
      <w:r w:rsidR="007C0F4E">
        <w:rPr>
          <w:b/>
          <w:bCs/>
          <w:sz w:val="22"/>
          <w:szCs w:val="22"/>
        </w:rPr>
        <w:t xml:space="preserve">pragmatické a </w:t>
      </w:r>
      <w:r w:rsidR="00A10E1C">
        <w:rPr>
          <w:b/>
          <w:bCs/>
          <w:sz w:val="22"/>
          <w:szCs w:val="22"/>
        </w:rPr>
        <w:t xml:space="preserve">konštruktívne zhodnotenie stavu a vývoja. </w:t>
      </w:r>
      <w:r w:rsidR="00EA135B">
        <w:rPr>
          <w:b/>
          <w:bCs/>
          <w:sz w:val="22"/>
          <w:szCs w:val="22"/>
        </w:rPr>
        <w:t xml:space="preserve">V individuálnych rozboroch hospodárenia je potrebné skôr zamerať sa na konkrétne úlohy pre konkrétne subjekty.  </w:t>
      </w:r>
      <w:r w:rsidR="002F654E">
        <w:rPr>
          <w:b/>
          <w:bCs/>
          <w:sz w:val="22"/>
          <w:szCs w:val="22"/>
        </w:rPr>
        <w:t xml:space="preserve">Informácia o súdnych sporoch, príp. možných hrozbách zo súdnych sporov (súdne trovy, zastupovanie, prehratý spor) nie súčasťou zhodnotenia. </w:t>
      </w:r>
      <w:r w:rsidR="00E03E9E">
        <w:rPr>
          <w:b/>
          <w:bCs/>
          <w:sz w:val="22"/>
          <w:szCs w:val="22"/>
        </w:rPr>
        <w:t xml:space="preserve">Dokument neobsahuje individuálne vyčíslenie finančných výdavkov súvisiacich s prehratými súdnymi spormi a odmenami za právne službe. </w:t>
      </w:r>
    </w:p>
    <w:p w:rsidR="005A13DE" w:rsidRPr="000750E4" w:rsidRDefault="005A13DE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9B28E6" w:rsidRPr="000750E4" w:rsidRDefault="006D0218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0750E4">
        <w:rPr>
          <w:b/>
          <w:bCs/>
          <w:sz w:val="22"/>
          <w:szCs w:val="22"/>
        </w:rPr>
        <w:tab/>
      </w:r>
      <w:r w:rsidR="000B32D5" w:rsidRPr="000750E4">
        <w:rPr>
          <w:b/>
          <w:bCs/>
          <w:sz w:val="22"/>
          <w:szCs w:val="22"/>
        </w:rPr>
        <w:t xml:space="preserve">V nadväznosti na </w:t>
      </w:r>
      <w:r w:rsidR="006A3EFE" w:rsidRPr="000750E4">
        <w:rPr>
          <w:b/>
          <w:bCs/>
          <w:sz w:val="22"/>
          <w:szCs w:val="22"/>
        </w:rPr>
        <w:t xml:space="preserve">dosahovaný priaznivý </w:t>
      </w:r>
      <w:r w:rsidR="000B32D5" w:rsidRPr="000750E4">
        <w:rPr>
          <w:b/>
          <w:bCs/>
          <w:sz w:val="22"/>
          <w:szCs w:val="22"/>
        </w:rPr>
        <w:t>vývoj da</w:t>
      </w:r>
      <w:r w:rsidR="006A3EFE" w:rsidRPr="000750E4">
        <w:rPr>
          <w:b/>
          <w:bCs/>
          <w:sz w:val="22"/>
          <w:szCs w:val="22"/>
        </w:rPr>
        <w:t xml:space="preserve">ňových príjmov, </w:t>
      </w:r>
      <w:r w:rsidR="008D1B33">
        <w:rPr>
          <w:b/>
          <w:bCs/>
          <w:sz w:val="22"/>
          <w:szCs w:val="22"/>
        </w:rPr>
        <w:t xml:space="preserve">opakovane poukazujem a </w:t>
      </w:r>
      <w:r w:rsidRPr="000750E4">
        <w:rPr>
          <w:b/>
          <w:bCs/>
          <w:sz w:val="22"/>
          <w:szCs w:val="22"/>
        </w:rPr>
        <w:t xml:space="preserve">odporúčam </w:t>
      </w:r>
      <w:r w:rsidR="009B28E6" w:rsidRPr="000750E4">
        <w:rPr>
          <w:b/>
          <w:bCs/>
          <w:sz w:val="22"/>
          <w:szCs w:val="22"/>
        </w:rPr>
        <w:t>zaoberať sa proces</w:t>
      </w:r>
      <w:r w:rsidR="006A3EFE" w:rsidRPr="000750E4">
        <w:rPr>
          <w:b/>
          <w:bCs/>
          <w:sz w:val="22"/>
          <w:szCs w:val="22"/>
        </w:rPr>
        <w:t xml:space="preserve">nou reformou finančných tokov, </w:t>
      </w:r>
      <w:r w:rsidR="009B28E6" w:rsidRPr="000750E4">
        <w:rPr>
          <w:b/>
          <w:bCs/>
          <w:sz w:val="22"/>
          <w:szCs w:val="22"/>
        </w:rPr>
        <w:t>revidovania verejných v</w:t>
      </w:r>
      <w:r w:rsidR="00A10E1C">
        <w:rPr>
          <w:b/>
          <w:bCs/>
          <w:sz w:val="22"/>
          <w:szCs w:val="22"/>
        </w:rPr>
        <w:t xml:space="preserve">ýdavkov s dôrazom na výsledkovú </w:t>
      </w:r>
      <w:r w:rsidR="009B28E6" w:rsidRPr="000750E4">
        <w:rPr>
          <w:b/>
          <w:bCs/>
          <w:sz w:val="22"/>
          <w:szCs w:val="22"/>
        </w:rPr>
        <w:t xml:space="preserve">konečnú </w:t>
      </w:r>
      <w:r w:rsidR="006A3EFE" w:rsidRPr="000750E4">
        <w:rPr>
          <w:b/>
          <w:bCs/>
          <w:sz w:val="22"/>
          <w:szCs w:val="22"/>
        </w:rPr>
        <w:t>účelovosť, pridanú hodnotu</w:t>
      </w:r>
      <w:r w:rsidR="00A10E1C">
        <w:rPr>
          <w:b/>
          <w:bCs/>
          <w:sz w:val="22"/>
          <w:szCs w:val="22"/>
        </w:rPr>
        <w:t xml:space="preserve"> služby</w:t>
      </w:r>
      <w:r w:rsidR="006A3EFE" w:rsidRPr="000750E4">
        <w:rPr>
          <w:b/>
          <w:bCs/>
          <w:sz w:val="22"/>
          <w:szCs w:val="22"/>
        </w:rPr>
        <w:t xml:space="preserve"> a </w:t>
      </w:r>
      <w:r w:rsidR="00A10E1C">
        <w:rPr>
          <w:b/>
          <w:bCs/>
          <w:sz w:val="22"/>
          <w:szCs w:val="22"/>
        </w:rPr>
        <w:t xml:space="preserve">budúcu účelnosť aj s ohľadom na zachovanie trvalej udržateľnosti. </w:t>
      </w:r>
      <w:r w:rsidR="006A3EFE" w:rsidRPr="000750E4">
        <w:rPr>
          <w:b/>
          <w:bCs/>
          <w:sz w:val="22"/>
          <w:szCs w:val="22"/>
        </w:rPr>
        <w:t xml:space="preserve">Vhodným nástrojom </w:t>
      </w:r>
      <w:r w:rsidR="00E63B2D" w:rsidRPr="000750E4">
        <w:rPr>
          <w:b/>
          <w:bCs/>
          <w:sz w:val="22"/>
          <w:szCs w:val="22"/>
        </w:rPr>
        <w:t xml:space="preserve">sa javí spracovanie analýzy finančného zabezpečenia </w:t>
      </w:r>
      <w:r w:rsidR="00A10E1C">
        <w:rPr>
          <w:b/>
          <w:bCs/>
          <w:sz w:val="22"/>
          <w:szCs w:val="22"/>
        </w:rPr>
        <w:t xml:space="preserve">(prerozdelenia, automatizácie) </w:t>
      </w:r>
      <w:r w:rsidR="00E63B2D" w:rsidRPr="000750E4">
        <w:rPr>
          <w:b/>
          <w:bCs/>
          <w:sz w:val="22"/>
          <w:szCs w:val="22"/>
        </w:rPr>
        <w:t xml:space="preserve">zdrojov a na základe toho stanovenie priorít, ktoré budú východiskom pre jednotlivé programy. </w:t>
      </w:r>
    </w:p>
    <w:p w:rsidR="009B28E6" w:rsidRPr="000750E4" w:rsidRDefault="009B28E6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5B2FFC" w:rsidRDefault="00201C66" w:rsidP="006D0218">
      <w:pPr>
        <w:pStyle w:val="Default"/>
        <w:spacing w:line="276" w:lineRule="auto"/>
        <w:ind w:firstLine="708"/>
        <w:jc w:val="both"/>
        <w:rPr>
          <w:rFonts w:eastAsia="Times New Roman"/>
          <w:b/>
          <w:sz w:val="22"/>
          <w:szCs w:val="22"/>
          <w:lang w:eastAsia="sk-SK"/>
        </w:rPr>
      </w:pPr>
      <w:r w:rsidRPr="000750E4">
        <w:rPr>
          <w:rFonts w:eastAsia="Times New Roman"/>
          <w:sz w:val="22"/>
          <w:szCs w:val="22"/>
          <w:lang w:eastAsia="sk-SK"/>
        </w:rPr>
        <w:lastRenderedPageBreak/>
        <w:t>N</w:t>
      </w:r>
      <w:r w:rsidR="005B2FFC" w:rsidRPr="000750E4">
        <w:rPr>
          <w:rFonts w:eastAsia="Times New Roman"/>
          <w:sz w:val="22"/>
          <w:szCs w:val="22"/>
          <w:lang w:eastAsia="sk-SK"/>
        </w:rPr>
        <w:t xml:space="preserve">a základe výsledkov hospodárenia z finančného plnenia rozpočtu mesta a rozboru hospodárenia </w:t>
      </w:r>
      <w:r w:rsidR="00A10E1C">
        <w:rPr>
          <w:rFonts w:eastAsia="Times New Roman"/>
          <w:sz w:val="22"/>
          <w:szCs w:val="22"/>
          <w:lang w:eastAsia="sk-SK"/>
        </w:rPr>
        <w:t xml:space="preserve">Verejnoprospešné služby, </w:t>
      </w:r>
      <w:proofErr w:type="spellStart"/>
      <w:r w:rsidR="00A10E1C">
        <w:rPr>
          <w:rFonts w:eastAsia="Times New Roman"/>
          <w:sz w:val="22"/>
          <w:szCs w:val="22"/>
          <w:lang w:eastAsia="sk-SK"/>
        </w:rPr>
        <w:t>p.o</w:t>
      </w:r>
      <w:proofErr w:type="spellEnd"/>
      <w:r w:rsidR="00A10E1C">
        <w:rPr>
          <w:rFonts w:eastAsia="Times New Roman"/>
          <w:sz w:val="22"/>
          <w:szCs w:val="22"/>
          <w:lang w:eastAsia="sk-SK"/>
        </w:rPr>
        <w:t xml:space="preserve">., škôl a školských zariadení </w:t>
      </w:r>
      <w:r w:rsidR="00CB710F">
        <w:rPr>
          <w:rFonts w:eastAsia="Times New Roman"/>
          <w:sz w:val="22"/>
          <w:szCs w:val="22"/>
          <w:lang w:eastAsia="sk-SK"/>
        </w:rPr>
        <w:t xml:space="preserve">v zriaďovateľskej pôsobnosti mesta </w:t>
      </w:r>
      <w:r w:rsidR="00A10E1C">
        <w:rPr>
          <w:rFonts w:eastAsia="Times New Roman"/>
          <w:sz w:val="22"/>
          <w:szCs w:val="22"/>
          <w:lang w:eastAsia="sk-SK"/>
        </w:rPr>
        <w:t xml:space="preserve">je potrebné zaoberať sa </w:t>
      </w:r>
      <w:r w:rsidR="00A10E1C" w:rsidRPr="00DE42B9">
        <w:rPr>
          <w:rFonts w:eastAsia="Times New Roman"/>
          <w:b/>
          <w:sz w:val="22"/>
          <w:szCs w:val="22"/>
          <w:lang w:eastAsia="sk-SK"/>
        </w:rPr>
        <w:t xml:space="preserve">v odborných diskusiách </w:t>
      </w:r>
      <w:r w:rsidR="00D21D32" w:rsidRPr="00DE42B9">
        <w:rPr>
          <w:rFonts w:eastAsia="Times New Roman"/>
          <w:b/>
          <w:sz w:val="22"/>
          <w:szCs w:val="22"/>
          <w:lang w:eastAsia="sk-SK"/>
        </w:rPr>
        <w:t>m</w:t>
      </w:r>
      <w:r w:rsidRPr="00DE42B9">
        <w:rPr>
          <w:rFonts w:eastAsia="Times New Roman"/>
          <w:b/>
          <w:sz w:val="22"/>
          <w:szCs w:val="22"/>
          <w:lang w:eastAsia="sk-SK"/>
        </w:rPr>
        <w:t xml:space="preserve">estskému zastupiteľstvo, </w:t>
      </w:r>
      <w:r w:rsidR="005B2FFC" w:rsidRPr="00DE42B9">
        <w:rPr>
          <w:rFonts w:eastAsia="Times New Roman"/>
          <w:b/>
          <w:sz w:val="22"/>
          <w:szCs w:val="22"/>
          <w:lang w:eastAsia="sk-SK"/>
        </w:rPr>
        <w:t>primátorovi mesta</w:t>
      </w:r>
      <w:r w:rsidR="0031726A">
        <w:rPr>
          <w:rFonts w:eastAsia="Times New Roman"/>
          <w:b/>
          <w:sz w:val="22"/>
          <w:szCs w:val="22"/>
          <w:lang w:eastAsia="sk-SK"/>
        </w:rPr>
        <w:t xml:space="preserve">, </w:t>
      </w:r>
      <w:r w:rsidR="00686C9F" w:rsidRPr="00DE42B9">
        <w:rPr>
          <w:rFonts w:eastAsia="Times New Roman"/>
          <w:b/>
          <w:sz w:val="22"/>
          <w:szCs w:val="22"/>
          <w:lang w:eastAsia="sk-SK"/>
        </w:rPr>
        <w:t>výkonným</w:t>
      </w:r>
      <w:r w:rsidR="00DE42B9" w:rsidRPr="00DE42B9">
        <w:rPr>
          <w:rFonts w:eastAsia="Times New Roman"/>
          <w:b/>
          <w:sz w:val="22"/>
          <w:szCs w:val="22"/>
          <w:lang w:eastAsia="sk-SK"/>
        </w:rPr>
        <w:t xml:space="preserve"> zložkám</w:t>
      </w:r>
      <w:r w:rsidR="0031726A">
        <w:rPr>
          <w:rFonts w:eastAsia="Times New Roman"/>
          <w:b/>
          <w:sz w:val="22"/>
          <w:szCs w:val="22"/>
          <w:lang w:eastAsia="sk-SK"/>
        </w:rPr>
        <w:t xml:space="preserve"> a poradným orgánom</w:t>
      </w:r>
      <w:r w:rsidR="00DE42B9" w:rsidRPr="00DE42B9">
        <w:rPr>
          <w:rFonts w:eastAsia="Times New Roman"/>
          <w:b/>
          <w:sz w:val="22"/>
          <w:szCs w:val="22"/>
          <w:lang w:eastAsia="sk-SK"/>
        </w:rPr>
        <w:t xml:space="preserve"> a prijať </w:t>
      </w:r>
      <w:r w:rsidR="008A6923" w:rsidRPr="00DE42B9">
        <w:rPr>
          <w:rFonts w:eastAsia="Times New Roman"/>
          <w:b/>
          <w:sz w:val="22"/>
          <w:szCs w:val="22"/>
          <w:lang w:eastAsia="sk-SK"/>
        </w:rPr>
        <w:t xml:space="preserve">konkrétne úlohy </w:t>
      </w:r>
      <w:r w:rsidR="005B2FFC" w:rsidRPr="00DE42B9">
        <w:rPr>
          <w:rFonts w:eastAsia="Times New Roman"/>
          <w:b/>
          <w:sz w:val="22"/>
          <w:szCs w:val="22"/>
          <w:lang w:eastAsia="sk-SK"/>
        </w:rPr>
        <w:t>zamerané na:</w:t>
      </w:r>
    </w:p>
    <w:p w:rsidR="00D0131E" w:rsidRPr="00343AC0" w:rsidRDefault="00D0131E" w:rsidP="006D0218">
      <w:pPr>
        <w:pStyle w:val="Default"/>
        <w:spacing w:line="276" w:lineRule="auto"/>
        <w:ind w:firstLine="708"/>
        <w:jc w:val="both"/>
        <w:rPr>
          <w:rFonts w:eastAsia="Times New Roman"/>
          <w:b/>
          <w:i/>
          <w:sz w:val="22"/>
          <w:szCs w:val="22"/>
          <w:lang w:eastAsia="sk-SK"/>
        </w:rPr>
      </w:pPr>
    </w:p>
    <w:p w:rsidR="00D0131E" w:rsidRPr="00343AC0" w:rsidRDefault="00D0131E" w:rsidP="00D0131E">
      <w:pPr>
        <w:pStyle w:val="Default"/>
        <w:numPr>
          <w:ilvl w:val="0"/>
          <w:numId w:val="43"/>
        </w:numPr>
        <w:spacing w:line="276" w:lineRule="auto"/>
        <w:jc w:val="both"/>
        <w:rPr>
          <w:rFonts w:eastAsia="Times New Roman"/>
          <w:b/>
          <w:i/>
          <w:smallCaps/>
          <w:sz w:val="22"/>
          <w:szCs w:val="22"/>
          <w:lang w:eastAsia="sk-SK"/>
        </w:rPr>
      </w:pPr>
      <w:r w:rsidRPr="00343AC0">
        <w:rPr>
          <w:rFonts w:eastAsia="Times New Roman"/>
          <w:b/>
          <w:i/>
          <w:smallCaps/>
          <w:sz w:val="22"/>
          <w:szCs w:val="22"/>
          <w:lang w:eastAsia="sk-SK"/>
        </w:rPr>
        <w:t xml:space="preserve">časť  - interné </w:t>
      </w:r>
      <w:r w:rsidR="00343AC0" w:rsidRPr="00343AC0">
        <w:rPr>
          <w:rFonts w:eastAsia="Times New Roman"/>
          <w:b/>
          <w:i/>
          <w:smallCaps/>
          <w:sz w:val="22"/>
          <w:szCs w:val="22"/>
          <w:lang w:eastAsia="sk-SK"/>
        </w:rPr>
        <w:t xml:space="preserve">opatrenia </w:t>
      </w:r>
    </w:p>
    <w:p w:rsidR="005B69C3" w:rsidRPr="00343AC0" w:rsidRDefault="005B69C3" w:rsidP="00C1497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</w:rPr>
      </w:pPr>
      <w:r w:rsidRPr="00343AC0">
        <w:rPr>
          <w:rFonts w:ascii="Times New Roman" w:hAnsi="Times New Roman" w:cs="Times New Roman"/>
          <w:bCs/>
          <w:i/>
          <w:color w:val="000000"/>
        </w:rPr>
        <w:t xml:space="preserve">vyhodnotenie </w:t>
      </w:r>
      <w:r w:rsidR="00201C66" w:rsidRPr="00343AC0">
        <w:rPr>
          <w:rFonts w:ascii="Times New Roman" w:hAnsi="Times New Roman" w:cs="Times New Roman"/>
          <w:bCs/>
          <w:i/>
          <w:color w:val="000000"/>
        </w:rPr>
        <w:t>výstupov</w:t>
      </w:r>
      <w:r w:rsidR="006205D3" w:rsidRPr="00343AC0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161EBA" w:rsidRPr="00343AC0">
        <w:rPr>
          <w:rFonts w:ascii="Times New Roman" w:hAnsi="Times New Roman" w:cs="Times New Roman"/>
          <w:bCs/>
          <w:i/>
          <w:color w:val="000000"/>
        </w:rPr>
        <w:t xml:space="preserve">inventarizačnej súhrnnej správy, </w:t>
      </w:r>
      <w:r w:rsidRPr="00343AC0">
        <w:rPr>
          <w:rFonts w:ascii="Times New Roman" w:hAnsi="Times New Roman" w:cs="Times New Roman"/>
          <w:bCs/>
          <w:i/>
          <w:color w:val="000000"/>
        </w:rPr>
        <w:t>prijatie opatrení sú</w:t>
      </w:r>
      <w:r w:rsidR="008633B2" w:rsidRPr="00343AC0">
        <w:rPr>
          <w:rFonts w:ascii="Times New Roman" w:hAnsi="Times New Roman" w:cs="Times New Roman"/>
          <w:bCs/>
          <w:i/>
          <w:color w:val="000000"/>
        </w:rPr>
        <w:t>visiacich so zreálnením stavu a spôsobu získ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>ania/odp</w:t>
      </w:r>
      <w:r w:rsidR="0088376B" w:rsidRPr="00343AC0">
        <w:rPr>
          <w:rFonts w:ascii="Times New Roman" w:hAnsi="Times New Roman" w:cs="Times New Roman"/>
          <w:bCs/>
          <w:i/>
          <w:color w:val="000000"/>
        </w:rPr>
        <w:t>i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>sova</w:t>
      </w:r>
      <w:r w:rsidR="008633B2" w:rsidRPr="00343AC0">
        <w:rPr>
          <w:rFonts w:ascii="Times New Roman" w:hAnsi="Times New Roman" w:cs="Times New Roman"/>
          <w:bCs/>
          <w:i/>
          <w:color w:val="000000"/>
        </w:rPr>
        <w:t xml:space="preserve">nia, triedenia stavu majetku mesta, </w:t>
      </w:r>
      <w:r w:rsidR="00161EBA" w:rsidRPr="00343AC0">
        <w:rPr>
          <w:rFonts w:ascii="Times New Roman" w:hAnsi="Times New Roman" w:cs="Times New Roman"/>
          <w:bCs/>
          <w:i/>
          <w:color w:val="000000"/>
        </w:rPr>
        <w:t xml:space="preserve">predloženie sumarizačnej správy o inventúre majetku mesta na rokovanie </w:t>
      </w:r>
      <w:proofErr w:type="spellStart"/>
      <w:r w:rsidR="00161EBA" w:rsidRPr="00343AC0">
        <w:rPr>
          <w:rFonts w:ascii="Times New Roman" w:hAnsi="Times New Roman" w:cs="Times New Roman"/>
          <w:bCs/>
          <w:i/>
          <w:color w:val="000000"/>
        </w:rPr>
        <w:t>MsZ</w:t>
      </w:r>
      <w:proofErr w:type="spellEnd"/>
      <w:r w:rsidR="008D1B33">
        <w:rPr>
          <w:rFonts w:ascii="Times New Roman" w:hAnsi="Times New Roman" w:cs="Times New Roman"/>
          <w:bCs/>
          <w:i/>
          <w:color w:val="000000"/>
        </w:rPr>
        <w:t xml:space="preserve">, </w:t>
      </w:r>
    </w:p>
    <w:p w:rsidR="00475C84" w:rsidRPr="00343AC0" w:rsidRDefault="00475C84" w:rsidP="00475C84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</w:rPr>
      </w:pPr>
      <w:r w:rsidRPr="00343AC0">
        <w:rPr>
          <w:rFonts w:ascii="Times New Roman" w:hAnsi="Times New Roman" w:cs="Times New Roman"/>
          <w:bCs/>
          <w:i/>
          <w:color w:val="000000"/>
        </w:rPr>
        <w:t>vyhodnot</w:t>
      </w:r>
      <w:r w:rsidR="00201C66" w:rsidRPr="00343AC0">
        <w:rPr>
          <w:rFonts w:ascii="Times New Roman" w:hAnsi="Times New Roman" w:cs="Times New Roman"/>
          <w:bCs/>
          <w:i/>
          <w:color w:val="000000"/>
        </w:rPr>
        <w:t xml:space="preserve">enie </w:t>
      </w:r>
      <w:r w:rsidRPr="00343AC0">
        <w:rPr>
          <w:rFonts w:ascii="Times New Roman" w:hAnsi="Times New Roman" w:cs="Times New Roman"/>
          <w:bCs/>
          <w:i/>
          <w:color w:val="000000"/>
        </w:rPr>
        <w:t>stav</w:t>
      </w:r>
      <w:r w:rsidR="00201C66" w:rsidRPr="00343AC0">
        <w:rPr>
          <w:rFonts w:ascii="Times New Roman" w:hAnsi="Times New Roman" w:cs="Times New Roman"/>
          <w:bCs/>
          <w:i/>
          <w:color w:val="000000"/>
        </w:rPr>
        <w:t>u</w:t>
      </w:r>
      <w:r w:rsidRPr="00343AC0">
        <w:rPr>
          <w:rFonts w:ascii="Times New Roman" w:hAnsi="Times New Roman" w:cs="Times New Roman"/>
          <w:bCs/>
          <w:i/>
          <w:color w:val="000000"/>
        </w:rPr>
        <w:t xml:space="preserve"> a pohyb majetku</w:t>
      </w:r>
      <w:r w:rsidR="00201C66" w:rsidRPr="00343AC0">
        <w:rPr>
          <w:rFonts w:ascii="Times New Roman" w:hAnsi="Times New Roman" w:cs="Times New Roman"/>
          <w:bCs/>
          <w:i/>
          <w:color w:val="000000"/>
        </w:rPr>
        <w:t xml:space="preserve"> (minimálne 1 x ročne)</w:t>
      </w:r>
      <w:r w:rsidRPr="00343AC0">
        <w:rPr>
          <w:rFonts w:ascii="Times New Roman" w:hAnsi="Times New Roman" w:cs="Times New Roman"/>
          <w:bCs/>
          <w:i/>
          <w:color w:val="000000"/>
        </w:rPr>
        <w:t xml:space="preserve"> na jednotlivých účtoch (priebežný zostatok účtu) a prijať opatrenia súvisiace s</w:t>
      </w:r>
      <w:r w:rsidR="00C4224B">
        <w:rPr>
          <w:rFonts w:ascii="Times New Roman" w:hAnsi="Times New Roman" w:cs="Times New Roman"/>
          <w:bCs/>
          <w:i/>
          <w:color w:val="000000"/>
        </w:rPr>
        <w:t> </w:t>
      </w:r>
      <w:r w:rsidR="00C4224B">
        <w:rPr>
          <w:rFonts w:ascii="Times New Roman" w:hAnsi="Times New Roman" w:cs="Times New Roman"/>
          <w:bCs/>
          <w:i/>
        </w:rPr>
        <w:t>prehodnotením dĺžky odpisovania, resp. u pohľadávok vytváranie opravných položiek podľa reálnej hodnoty vymoženia</w:t>
      </w:r>
      <w:r w:rsidR="008D1B33">
        <w:rPr>
          <w:rFonts w:ascii="Times New Roman" w:hAnsi="Times New Roman" w:cs="Times New Roman"/>
          <w:bCs/>
          <w:i/>
        </w:rPr>
        <w:t xml:space="preserve">, </w:t>
      </w:r>
      <w:proofErr w:type="spellStart"/>
      <w:r w:rsidR="008D1B33">
        <w:rPr>
          <w:rFonts w:ascii="Times New Roman" w:hAnsi="Times New Roman" w:cs="Times New Roman"/>
          <w:bCs/>
          <w:i/>
        </w:rPr>
        <w:t>o.i</w:t>
      </w:r>
      <w:proofErr w:type="spellEnd"/>
      <w:r w:rsidR="008D1B33">
        <w:rPr>
          <w:rFonts w:ascii="Times New Roman" w:hAnsi="Times New Roman" w:cs="Times New Roman"/>
          <w:bCs/>
          <w:i/>
        </w:rPr>
        <w:t>. aj viď. stanovisko audítora</w:t>
      </w:r>
      <w:r w:rsidR="00C4224B">
        <w:rPr>
          <w:rFonts w:ascii="Times New Roman" w:hAnsi="Times New Roman" w:cs="Times New Roman"/>
          <w:bCs/>
          <w:i/>
        </w:rPr>
        <w:t xml:space="preserve">, </w:t>
      </w:r>
      <w:r w:rsidRPr="00343AC0">
        <w:rPr>
          <w:rFonts w:ascii="Times New Roman" w:hAnsi="Times New Roman" w:cs="Times New Roman"/>
          <w:bCs/>
          <w:i/>
          <w:color w:val="000000"/>
        </w:rPr>
        <w:t xml:space="preserve"> </w:t>
      </w:r>
    </w:p>
    <w:p w:rsidR="00567084" w:rsidRPr="00343AC0" w:rsidRDefault="00201C66" w:rsidP="00475C84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</w:rPr>
      </w:pPr>
      <w:r w:rsidRPr="00343AC0">
        <w:rPr>
          <w:rFonts w:ascii="Times New Roman" w:hAnsi="Times New Roman" w:cs="Times New Roman"/>
          <w:bCs/>
          <w:i/>
          <w:color w:val="000000"/>
        </w:rPr>
        <w:t xml:space="preserve">dôsledné určenie 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spôsob</w:t>
      </w:r>
      <w:r w:rsidRPr="00343AC0">
        <w:rPr>
          <w:rFonts w:ascii="Times New Roman" w:hAnsi="Times New Roman" w:cs="Times New Roman"/>
          <w:bCs/>
          <w:i/>
          <w:color w:val="000000"/>
        </w:rPr>
        <w:t>u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>členenia výdavkov</w:t>
      </w:r>
      <w:r w:rsidR="00CB710F" w:rsidRPr="00343AC0">
        <w:rPr>
          <w:rFonts w:ascii="Times New Roman" w:hAnsi="Times New Roman" w:cs="Times New Roman"/>
          <w:bCs/>
          <w:i/>
          <w:color w:val="000000"/>
        </w:rPr>
        <w:t xml:space="preserve"> (bežné – kapitálové výdavky)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 xml:space="preserve">, účtovania a 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zápočtu dlhodobej pohľadávky z</w:t>
      </w:r>
      <w:r w:rsidR="00CB710F" w:rsidRPr="00343AC0">
        <w:rPr>
          <w:rFonts w:ascii="Times New Roman" w:hAnsi="Times New Roman" w:cs="Times New Roman"/>
          <w:bCs/>
          <w:i/>
          <w:color w:val="000000"/>
        </w:rPr>
        <w:t> 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prenájmu</w:t>
      </w:r>
      <w:r w:rsidR="00CB710F" w:rsidRPr="00343AC0">
        <w:rPr>
          <w:rFonts w:ascii="Times New Roman" w:hAnsi="Times New Roman" w:cs="Times New Roman"/>
          <w:bCs/>
          <w:i/>
          <w:color w:val="000000"/>
        </w:rPr>
        <w:t xml:space="preserve"> nebytových priestorov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, ktor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 xml:space="preserve">á je posudzovaná ako bežná údržba, 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príp. technick</w:t>
      </w:r>
      <w:r w:rsidR="00EA6A0A" w:rsidRPr="00343AC0">
        <w:rPr>
          <w:rFonts w:ascii="Times New Roman" w:hAnsi="Times New Roman" w:cs="Times New Roman"/>
          <w:bCs/>
          <w:i/>
          <w:color w:val="000000"/>
        </w:rPr>
        <w:t>é zhodnotenie b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>udovy,</w:t>
      </w:r>
      <w:r w:rsidR="005146D3" w:rsidRPr="00343AC0">
        <w:rPr>
          <w:rFonts w:ascii="Times New Roman" w:hAnsi="Times New Roman" w:cs="Times New Roman"/>
          <w:bCs/>
          <w:i/>
          <w:color w:val="000000"/>
        </w:rPr>
        <w:t xml:space="preserve"> rozlišovanie spôsobu zápočtu u nájomníkov, ktorý majú postavenie platiteľa </w:t>
      </w:r>
      <w:r w:rsidR="008D1B33">
        <w:rPr>
          <w:rFonts w:ascii="Times New Roman" w:hAnsi="Times New Roman" w:cs="Times New Roman"/>
          <w:bCs/>
          <w:i/>
          <w:color w:val="000000"/>
        </w:rPr>
        <w:t>dane</w:t>
      </w:r>
      <w:r w:rsidR="005146D3" w:rsidRPr="00343AC0">
        <w:rPr>
          <w:rFonts w:ascii="Times New Roman" w:hAnsi="Times New Roman" w:cs="Times New Roman"/>
          <w:bCs/>
          <w:i/>
          <w:color w:val="000000"/>
        </w:rPr>
        <w:t xml:space="preserve"> z pridanej hodnoty, </w:t>
      </w:r>
      <w:r w:rsidR="00567084" w:rsidRPr="00343AC0">
        <w:rPr>
          <w:rFonts w:ascii="Times New Roman" w:hAnsi="Times New Roman" w:cs="Times New Roman"/>
          <w:bCs/>
          <w:i/>
          <w:color w:val="000000"/>
        </w:rPr>
        <w:t xml:space="preserve"> </w:t>
      </w:r>
    </w:p>
    <w:p w:rsidR="00B2686F" w:rsidRPr="00343AC0" w:rsidRDefault="00F864E2" w:rsidP="00B2686F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</w:rPr>
      </w:pPr>
      <w:r w:rsidRPr="00343AC0">
        <w:rPr>
          <w:rFonts w:ascii="Times New Roman" w:hAnsi="Times New Roman" w:cs="Times New Roman"/>
          <w:bCs/>
          <w:i/>
          <w:color w:val="000000"/>
        </w:rPr>
        <w:t>v oblasti zmeny</w:t>
      </w:r>
      <w:r w:rsidR="00B2686F" w:rsidRPr="00343AC0">
        <w:rPr>
          <w:rFonts w:ascii="Times New Roman" w:hAnsi="Times New Roman" w:cs="Times New Roman"/>
          <w:bCs/>
          <w:i/>
          <w:color w:val="000000"/>
        </w:rPr>
        <w:t>/ochrany</w:t>
      </w:r>
      <w:r w:rsidRPr="00343AC0">
        <w:rPr>
          <w:rFonts w:ascii="Times New Roman" w:hAnsi="Times New Roman" w:cs="Times New Roman"/>
          <w:bCs/>
          <w:i/>
          <w:color w:val="000000"/>
        </w:rPr>
        <w:t xml:space="preserve"> vlastníctva majetku mesta zvýšiť mieru ochrany majetku mesta a verejného záujmu formou prijímania predkupného práva, práva spätnej kúpy, zriaďovania vecného bremena, vydávania záväzných stanovísk </w:t>
      </w:r>
      <w:r w:rsidR="00B2686F" w:rsidRPr="00343AC0">
        <w:rPr>
          <w:rFonts w:ascii="Times New Roman" w:hAnsi="Times New Roman" w:cs="Times New Roman"/>
          <w:bCs/>
          <w:i/>
          <w:color w:val="000000"/>
        </w:rPr>
        <w:t xml:space="preserve">na plánovanú výstavbu </w:t>
      </w:r>
      <w:r w:rsidRPr="00343AC0">
        <w:rPr>
          <w:rFonts w:ascii="Times New Roman" w:hAnsi="Times New Roman" w:cs="Times New Roman"/>
          <w:bCs/>
          <w:i/>
          <w:color w:val="000000"/>
        </w:rPr>
        <w:t>s obmedzenou časovou platnos</w:t>
      </w:r>
      <w:r w:rsidR="00B2686F" w:rsidRPr="00343AC0">
        <w:rPr>
          <w:rFonts w:ascii="Times New Roman" w:hAnsi="Times New Roman" w:cs="Times New Roman"/>
          <w:bCs/>
          <w:i/>
          <w:color w:val="000000"/>
        </w:rPr>
        <w:t xml:space="preserve">ťou, príp. nesúhlasných stanovísk, prijímania záväzných stanovísk na vstup a použitie pozemkov s dôslednou identifikáciou určujúcich podmienok a pod., vyzývať povinných v zmysle zmluvy o budúcej zmluvy o zriadení vecného bremena na vecné plnenie zmluvy, </w:t>
      </w:r>
    </w:p>
    <w:p w:rsidR="00D0131E" w:rsidRPr="00343AC0" w:rsidRDefault="008D1B33" w:rsidP="00D0131E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okamžité prehodnotenie spôsobov vymáhania pohľadávok a prijatie vhodných a účinných procesných postupov vymáhania za účelom zastavenia neustále narastajúcich dlhov a</w:t>
      </w:r>
      <w:r w:rsidR="0006556A">
        <w:rPr>
          <w:rFonts w:ascii="Times New Roman" w:hAnsi="Times New Roman" w:cs="Times New Roman"/>
          <w:bCs/>
          <w:i/>
          <w:color w:val="000000"/>
        </w:rPr>
        <w:t xml:space="preserve"> zvyšovania </w:t>
      </w:r>
      <w:r w:rsidR="00D0131E" w:rsidRPr="00343AC0">
        <w:rPr>
          <w:rFonts w:ascii="Times New Roman" w:hAnsi="Times New Roman" w:cs="Times New Roman"/>
          <w:bCs/>
          <w:i/>
          <w:color w:val="000000"/>
        </w:rPr>
        <w:t xml:space="preserve">efektivity a účinnosti vymáhania daňových nedoplatkov a vo väčšej miere uplatňovanie sankcií v daňovom konaní, minimálne 1x ročne vyhodnotenie uplatnených spôsobov vymáhania daňových aj nedaňových  nedoplatkov a určenie ďalších možných zákonných spôsobov vymáhania, určovanie skupiny nedobytných pohľadávok určených na odpísanie z majetku, príp. prevedenie na slovenskú konsolidačnú banku, </w:t>
      </w:r>
    </w:p>
    <w:p w:rsidR="00D0131E" w:rsidRPr="00343AC0" w:rsidRDefault="00D0131E" w:rsidP="00D0131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i/>
          <w:color w:val="000000"/>
        </w:rPr>
      </w:pPr>
      <w:r w:rsidRPr="00343AC0">
        <w:rPr>
          <w:rFonts w:ascii="Times New Roman" w:hAnsi="Times New Roman" w:cs="Times New Roman"/>
          <w:bCs/>
          <w:i/>
          <w:color w:val="000000"/>
        </w:rPr>
        <w:t xml:space="preserve">zvyšovanie vlastnej aktivity a úkonov v oblasti identifikácie daňových dlžníkov, zabezpečenie a vymáhanie daňových aj nedaňových nedoplatkov, intenzívne uplatňovanie opatrení súvisiacich so zabezpečením pohľadávky na majetok,  </w:t>
      </w:r>
    </w:p>
    <w:p w:rsidR="00D0131E" w:rsidRPr="00343AC0" w:rsidRDefault="00D0131E" w:rsidP="00D0131E">
      <w:pPr>
        <w:pStyle w:val="Default"/>
        <w:numPr>
          <w:ilvl w:val="0"/>
          <w:numId w:val="3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 xml:space="preserve">obstaranie tovarov a služieb v zmysle zákona o verejnom obstarávaní cez elektronické verejné obstarávanie za účelom optimalizácie bežných a kapitálových výdavkov, </w:t>
      </w:r>
    </w:p>
    <w:p w:rsidR="00D0131E" w:rsidRPr="00343AC0" w:rsidRDefault="00D0131E" w:rsidP="00D0131E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 xml:space="preserve">dôslednú prípravu, spracovanie a kontrolu stavebného </w:t>
      </w:r>
      <w:proofErr w:type="spellStart"/>
      <w:r w:rsidRPr="00343AC0">
        <w:rPr>
          <w:rFonts w:eastAsia="Times New Roman"/>
          <w:i/>
          <w:sz w:val="22"/>
          <w:szCs w:val="22"/>
          <w:lang w:eastAsia="sk-SK"/>
        </w:rPr>
        <w:t>položkovitého</w:t>
      </w:r>
      <w:proofErr w:type="spellEnd"/>
      <w:r w:rsidRPr="00343AC0">
        <w:rPr>
          <w:rFonts w:eastAsia="Times New Roman"/>
          <w:i/>
          <w:sz w:val="22"/>
          <w:szCs w:val="22"/>
          <w:lang w:eastAsia="sk-SK"/>
        </w:rPr>
        <w:t xml:space="preserve"> rozpočtu </w:t>
      </w:r>
      <w:r w:rsidRPr="00343AC0">
        <w:rPr>
          <w:rStyle w:val="st"/>
          <w:i/>
          <w:sz w:val="22"/>
          <w:szCs w:val="22"/>
        </w:rPr>
        <w:t xml:space="preserve">stavebného diela pre zodpovedné plánovanie finančných prostriedkov, za účelom predchádzania </w:t>
      </w:r>
      <w:r w:rsidRPr="00343AC0">
        <w:rPr>
          <w:i/>
          <w:sz w:val="22"/>
          <w:szCs w:val="22"/>
        </w:rPr>
        <w:t xml:space="preserve">nezrovnalostí pri plnení programového rozpočtu mesta, resp. identifikácie možných neoprávnených výdavkov projektu, </w:t>
      </w:r>
    </w:p>
    <w:p w:rsidR="00D0131E" w:rsidRPr="00343AC0" w:rsidRDefault="00D0131E" w:rsidP="00D0131E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proofErr w:type="spellStart"/>
      <w:r w:rsidRPr="00343AC0">
        <w:rPr>
          <w:rFonts w:eastAsia="Times New Roman"/>
          <w:i/>
          <w:sz w:val="22"/>
          <w:szCs w:val="22"/>
          <w:lang w:eastAsia="sk-SK"/>
        </w:rPr>
        <w:t>passport</w:t>
      </w:r>
      <w:proofErr w:type="spellEnd"/>
      <w:r w:rsidRPr="00343AC0">
        <w:rPr>
          <w:rFonts w:eastAsia="Times New Roman"/>
          <w:i/>
          <w:sz w:val="22"/>
          <w:szCs w:val="22"/>
          <w:lang w:eastAsia="sk-SK"/>
        </w:rPr>
        <w:t xml:space="preserve"> miestnych komunikácií, chodníkov, cyklochodníkov, lávok, priepustov, verejnej zelene – nutná elektronizácia a sprístupnenie pre verejnosť, minimálne 1 x ročná aktualizovanie ukazovateľov z dôvodu zmeny/nárastu nadobudnutia vo vlastnej réžií (cez VPS, </w:t>
      </w:r>
      <w:proofErr w:type="spellStart"/>
      <w:r w:rsidRPr="00343AC0">
        <w:rPr>
          <w:rFonts w:eastAsia="Times New Roman"/>
          <w:i/>
          <w:sz w:val="22"/>
          <w:szCs w:val="22"/>
          <w:lang w:eastAsia="sk-SK"/>
        </w:rPr>
        <w:t>p.o</w:t>
      </w:r>
      <w:proofErr w:type="spellEnd"/>
      <w:r w:rsidRPr="00343AC0">
        <w:rPr>
          <w:rFonts w:eastAsia="Times New Roman"/>
          <w:i/>
          <w:sz w:val="22"/>
          <w:szCs w:val="22"/>
          <w:lang w:eastAsia="sk-SK"/>
        </w:rPr>
        <w:t xml:space="preserve">), uznesením </w:t>
      </w:r>
      <w:proofErr w:type="spellStart"/>
      <w:r w:rsidRPr="00343AC0">
        <w:rPr>
          <w:rFonts w:eastAsia="Times New Roman"/>
          <w:i/>
          <w:sz w:val="22"/>
          <w:szCs w:val="22"/>
          <w:lang w:eastAsia="sk-SK"/>
        </w:rPr>
        <w:t>MsZ</w:t>
      </w:r>
      <w:proofErr w:type="spellEnd"/>
      <w:r w:rsidRPr="00343AC0">
        <w:rPr>
          <w:rFonts w:eastAsia="Times New Roman"/>
          <w:i/>
          <w:sz w:val="22"/>
          <w:szCs w:val="22"/>
          <w:lang w:eastAsia="sk-SK"/>
        </w:rPr>
        <w:t>, na základe zmluvy o prevode vlastníctva a iného práva,</w:t>
      </w:r>
    </w:p>
    <w:p w:rsidR="00D0131E" w:rsidRPr="00343AC0" w:rsidRDefault="00D0131E" w:rsidP="00D0131E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 xml:space="preserve">aktívne vykonávať úkony smerujúce k vysporiadaniu pozemkov pod stavbami v súlade so zákonom č. 66/2009 Z.z. o niektorých opatreniach pri majetkovoprávnom usporiadaní pozemkov pod stavbami, ktoré prešli z vlastníctva štátu na obce a vyššie územné celky a o zmene a doplnení niektorých zákonov, </w:t>
      </w:r>
    </w:p>
    <w:p w:rsidR="00465EB9" w:rsidRDefault="00D0131E" w:rsidP="00D0131E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>aktívne vykonávanie úkonov súvisiacich so štátnym stavebných dohľadom, sprístupnenie informácií o vydaných právoplatných územných a stavebných povoleniach</w:t>
      </w:r>
      <w:r w:rsidR="00465EB9">
        <w:rPr>
          <w:i/>
          <w:sz w:val="22"/>
          <w:szCs w:val="22"/>
        </w:rPr>
        <w:t xml:space="preserve">, </w:t>
      </w:r>
    </w:p>
    <w:p w:rsidR="00D0131E" w:rsidRPr="00241AFC" w:rsidRDefault="00465EB9" w:rsidP="00241AFC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priebežne vykonávať proces výzvy budúcich povinných na plnenie zmluvy o zriadení vecného bremena s finančnou kompenzáciou a zameraním vecného bremena</w:t>
      </w:r>
      <w:r w:rsidR="00D0131E" w:rsidRPr="00241AFC">
        <w:rPr>
          <w:i/>
        </w:rPr>
        <w:t xml:space="preserve">; </w:t>
      </w:r>
    </w:p>
    <w:p w:rsidR="00D0131E" w:rsidRPr="00343AC0" w:rsidRDefault="00D0131E" w:rsidP="00D0131E">
      <w:pPr>
        <w:pStyle w:val="Default"/>
        <w:spacing w:line="276" w:lineRule="auto"/>
        <w:ind w:left="720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 xml:space="preserve"> </w:t>
      </w:r>
    </w:p>
    <w:p w:rsidR="00D0131E" w:rsidRPr="00343AC0" w:rsidRDefault="00D0131E" w:rsidP="00343AC0">
      <w:pPr>
        <w:pStyle w:val="Odsekzoznamu"/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hAnsi="Times New Roman" w:cs="Times New Roman"/>
          <w:b/>
          <w:bCs/>
          <w:i/>
          <w:smallCaps/>
          <w:color w:val="000000"/>
        </w:rPr>
      </w:pPr>
      <w:r w:rsidRPr="00343AC0">
        <w:rPr>
          <w:rFonts w:ascii="Times New Roman" w:eastAsia="Times New Roman" w:hAnsi="Times New Roman" w:cs="Times New Roman"/>
          <w:b/>
          <w:i/>
          <w:smallCaps/>
          <w:lang w:eastAsia="sk-SK"/>
        </w:rPr>
        <w:t>časť</w:t>
      </w:r>
      <w:r w:rsidRPr="00343AC0">
        <w:rPr>
          <w:rFonts w:ascii="Times New Roman" w:hAnsi="Times New Roman" w:cs="Times New Roman"/>
          <w:b/>
          <w:bCs/>
          <w:i/>
          <w:smallCaps/>
          <w:color w:val="000000"/>
        </w:rPr>
        <w:t xml:space="preserve"> – rozpočtové </w:t>
      </w:r>
      <w:r w:rsidR="00343AC0" w:rsidRPr="00343AC0">
        <w:rPr>
          <w:rFonts w:ascii="Times New Roman" w:eastAsia="Times New Roman" w:hAnsi="Times New Roman" w:cs="Times New Roman"/>
          <w:b/>
          <w:i/>
          <w:smallCaps/>
          <w:lang w:eastAsia="sk-SK"/>
        </w:rPr>
        <w:t>opatrenia</w:t>
      </w:r>
    </w:p>
    <w:p w:rsidR="00C1497A" w:rsidRPr="00241AFC" w:rsidRDefault="00C1497A" w:rsidP="00241AFC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bCs/>
          <w:i/>
          <w:color w:val="000000"/>
        </w:rPr>
      </w:pPr>
      <w:r w:rsidRPr="00241AFC">
        <w:rPr>
          <w:rFonts w:ascii="Times New Roman" w:hAnsi="Times New Roman" w:cs="Times New Roman"/>
          <w:bCs/>
          <w:i/>
        </w:rPr>
        <w:t>viazanie rozpočtových prostriedkov %-</w:t>
      </w:r>
      <w:proofErr w:type="spellStart"/>
      <w:r w:rsidRPr="00241AFC">
        <w:rPr>
          <w:rFonts w:ascii="Times New Roman" w:hAnsi="Times New Roman" w:cs="Times New Roman"/>
          <w:bCs/>
          <w:i/>
        </w:rPr>
        <w:t>ným</w:t>
      </w:r>
      <w:proofErr w:type="spellEnd"/>
      <w:r w:rsidRPr="00241AFC">
        <w:rPr>
          <w:rFonts w:ascii="Times New Roman" w:hAnsi="Times New Roman" w:cs="Times New Roman"/>
          <w:bCs/>
          <w:i/>
        </w:rPr>
        <w:t xml:space="preserve"> stanovením, schvaľovaním výdavkov v jednotlivých programoch, ktoré sú prioritné pre príslušný rozpočtový rok v oblasti tvorby a riadenia programového rozpočtu, </w:t>
      </w:r>
    </w:p>
    <w:p w:rsidR="0053454F" w:rsidRPr="00241AFC" w:rsidRDefault="0053454F" w:rsidP="00241AFC">
      <w:pPr>
        <w:pStyle w:val="Default"/>
        <w:numPr>
          <w:ilvl w:val="0"/>
          <w:numId w:val="27"/>
        </w:numPr>
        <w:ind w:hanging="357"/>
        <w:jc w:val="both"/>
        <w:rPr>
          <w:rFonts w:eastAsia="Times New Roman"/>
          <w:i/>
          <w:sz w:val="22"/>
          <w:szCs w:val="22"/>
          <w:lang w:eastAsia="sk-SK"/>
        </w:rPr>
      </w:pPr>
      <w:r w:rsidRPr="00241AFC">
        <w:rPr>
          <w:i/>
          <w:sz w:val="22"/>
          <w:szCs w:val="22"/>
        </w:rPr>
        <w:t xml:space="preserve">prijímanie štrukturálnych zmien v oblasti zvyšovania a tvorby vyššieho prebytku bežného a kapitálového rozpočtu, </w:t>
      </w:r>
      <w:proofErr w:type="spellStart"/>
      <w:r w:rsidRPr="00241AFC">
        <w:rPr>
          <w:i/>
          <w:sz w:val="22"/>
          <w:szCs w:val="22"/>
        </w:rPr>
        <w:t>o.i</w:t>
      </w:r>
      <w:proofErr w:type="spellEnd"/>
      <w:r w:rsidRPr="00241AFC">
        <w:rPr>
          <w:i/>
          <w:sz w:val="22"/>
          <w:szCs w:val="22"/>
        </w:rPr>
        <w:t>. aj za účelom znižovania vlastných výdavkov a zvyšovania vlastných príjmov,</w:t>
      </w:r>
    </w:p>
    <w:p w:rsidR="0053454F" w:rsidRPr="00241AFC" w:rsidRDefault="0069695F" w:rsidP="00241AFC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i/>
          <w:color w:val="000000"/>
        </w:rPr>
      </w:pPr>
      <w:r w:rsidRPr="00241AFC">
        <w:rPr>
          <w:rFonts w:ascii="Times New Roman" w:hAnsi="Times New Roman" w:cs="Times New Roman"/>
          <w:i/>
          <w:color w:val="000000"/>
        </w:rPr>
        <w:t xml:space="preserve">rozpočtovanie </w:t>
      </w:r>
      <w:r w:rsidR="00940FCE" w:rsidRPr="00241AFC">
        <w:rPr>
          <w:rFonts w:ascii="Times New Roman" w:hAnsi="Times New Roman" w:cs="Times New Roman"/>
          <w:i/>
          <w:color w:val="000000"/>
        </w:rPr>
        <w:t>zvýšen</w:t>
      </w:r>
      <w:r w:rsidRPr="00241AFC">
        <w:rPr>
          <w:rFonts w:ascii="Times New Roman" w:hAnsi="Times New Roman" w:cs="Times New Roman"/>
          <w:i/>
          <w:color w:val="000000"/>
        </w:rPr>
        <w:t xml:space="preserve">ého </w:t>
      </w:r>
      <w:r w:rsidR="00940FCE" w:rsidRPr="00241AFC">
        <w:rPr>
          <w:rFonts w:ascii="Times New Roman" w:hAnsi="Times New Roman" w:cs="Times New Roman"/>
          <w:i/>
          <w:color w:val="000000"/>
        </w:rPr>
        <w:t xml:space="preserve">objem finančných prostriedkov z vlastných a cudzích príjmov bežného rozpočtu </w:t>
      </w:r>
      <w:r w:rsidR="0053454F" w:rsidRPr="00241AFC">
        <w:rPr>
          <w:rFonts w:ascii="Times New Roman" w:hAnsi="Times New Roman" w:cs="Times New Roman"/>
          <w:i/>
          <w:color w:val="000000"/>
        </w:rPr>
        <w:t xml:space="preserve">na rozvojové programy mesta (nie do bežnej spotreby), </w:t>
      </w:r>
    </w:p>
    <w:p w:rsidR="0053454F" w:rsidRPr="00241AFC" w:rsidRDefault="0053454F" w:rsidP="00241AFC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i/>
          <w:color w:val="000000"/>
        </w:rPr>
      </w:pPr>
      <w:r w:rsidRPr="00241AFC">
        <w:rPr>
          <w:rFonts w:ascii="Times New Roman" w:hAnsi="Times New Roman" w:cs="Times New Roman"/>
          <w:i/>
        </w:rPr>
        <w:t xml:space="preserve">venovanie väčšej pozornosti majetku mesta, ktorý nie je intenzívne využívaný a negeneruje dodatočné nedaňové príjmy, </w:t>
      </w:r>
    </w:p>
    <w:p w:rsidR="0053454F" w:rsidRPr="00241AFC" w:rsidRDefault="0053454F" w:rsidP="00241AFC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ascii="Times New Roman" w:hAnsi="Times New Roman" w:cs="Times New Roman"/>
          <w:bCs/>
          <w:i/>
          <w:color w:val="000000"/>
        </w:rPr>
      </w:pPr>
      <w:r w:rsidRPr="00241AFC">
        <w:rPr>
          <w:rFonts w:ascii="Times New Roman" w:hAnsi="Times New Roman" w:cs="Times New Roman"/>
          <w:i/>
        </w:rPr>
        <w:t>zvýšenie aktivity v oblasti tvorby vla</w:t>
      </w:r>
      <w:r w:rsidR="00D0131E" w:rsidRPr="00241AFC">
        <w:rPr>
          <w:rFonts w:ascii="Times New Roman" w:hAnsi="Times New Roman" w:cs="Times New Roman"/>
          <w:i/>
        </w:rPr>
        <w:t>stných nedaňových príjmov mesta;</w:t>
      </w:r>
      <w:r w:rsidRPr="00241AFC">
        <w:rPr>
          <w:rFonts w:ascii="Times New Roman" w:hAnsi="Times New Roman" w:cs="Times New Roman"/>
          <w:i/>
        </w:rPr>
        <w:t xml:space="preserve"> </w:t>
      </w:r>
    </w:p>
    <w:p w:rsidR="00241AFC" w:rsidRPr="00241AFC" w:rsidRDefault="00241AFC" w:rsidP="00241AFC">
      <w:pPr>
        <w:pStyle w:val="Default"/>
        <w:numPr>
          <w:ilvl w:val="0"/>
          <w:numId w:val="27"/>
        </w:numPr>
        <w:ind w:hanging="357"/>
        <w:jc w:val="both"/>
        <w:rPr>
          <w:i/>
          <w:sz w:val="22"/>
          <w:szCs w:val="22"/>
        </w:rPr>
      </w:pPr>
      <w:r w:rsidRPr="00241AFC">
        <w:rPr>
          <w:i/>
          <w:sz w:val="22"/>
          <w:szCs w:val="22"/>
        </w:rPr>
        <w:t xml:space="preserve">súčasne so žiadosťou o schválenie NFP prekladať na rokovanie </w:t>
      </w:r>
      <w:proofErr w:type="spellStart"/>
      <w:r w:rsidRPr="00241AFC">
        <w:rPr>
          <w:i/>
          <w:sz w:val="22"/>
          <w:szCs w:val="22"/>
        </w:rPr>
        <w:t>MsZ</w:t>
      </w:r>
      <w:proofErr w:type="spellEnd"/>
      <w:r w:rsidRPr="00241AFC">
        <w:rPr>
          <w:i/>
          <w:sz w:val="22"/>
          <w:szCs w:val="22"/>
        </w:rPr>
        <w:t xml:space="preserve"> a ďalšie pracovné využitie predpokladané prevádzkové výdavky investície (napr. po rekonštrukcií Plavárne, po výstavbe zariadenia sociálnych služieb a pod.</w:t>
      </w:r>
      <w:r>
        <w:rPr>
          <w:i/>
          <w:sz w:val="22"/>
          <w:szCs w:val="22"/>
        </w:rPr>
        <w:t>)</w:t>
      </w:r>
      <w:r w:rsidRPr="00241AFC">
        <w:rPr>
          <w:i/>
          <w:sz w:val="22"/>
          <w:szCs w:val="22"/>
        </w:rPr>
        <w:t xml:space="preserve">; </w:t>
      </w:r>
    </w:p>
    <w:p w:rsidR="00C1497A" w:rsidRPr="00343AC0" w:rsidRDefault="00C1497A" w:rsidP="00C1497A">
      <w:pPr>
        <w:pStyle w:val="Odsekzoznamu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i/>
          <w:color w:val="000000"/>
        </w:rPr>
      </w:pPr>
    </w:p>
    <w:p w:rsidR="00D0131E" w:rsidRPr="00343AC0" w:rsidRDefault="00D0131E" w:rsidP="00D0131E">
      <w:pPr>
        <w:pStyle w:val="Odsekzoznamu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mallCaps/>
          <w:color w:val="000000"/>
        </w:rPr>
      </w:pPr>
      <w:r w:rsidRPr="00343AC0">
        <w:rPr>
          <w:rFonts w:ascii="Times New Roman" w:eastAsia="Times New Roman" w:hAnsi="Times New Roman" w:cs="Times New Roman"/>
          <w:b/>
          <w:i/>
          <w:smallCaps/>
          <w:lang w:eastAsia="sk-SK"/>
        </w:rPr>
        <w:t>časť</w:t>
      </w:r>
      <w:r w:rsidRPr="00343AC0">
        <w:rPr>
          <w:rFonts w:ascii="Times New Roman" w:hAnsi="Times New Roman" w:cs="Times New Roman"/>
          <w:b/>
          <w:bCs/>
          <w:i/>
          <w:smallCaps/>
          <w:color w:val="000000"/>
        </w:rPr>
        <w:t xml:space="preserve"> – zmluvné </w:t>
      </w:r>
      <w:r w:rsidR="00343AC0" w:rsidRPr="00343AC0">
        <w:rPr>
          <w:rFonts w:ascii="Times New Roman" w:eastAsia="Times New Roman" w:hAnsi="Times New Roman" w:cs="Times New Roman"/>
          <w:b/>
          <w:i/>
          <w:smallCaps/>
          <w:lang w:eastAsia="sk-SK"/>
        </w:rPr>
        <w:t>opatrenia</w:t>
      </w:r>
    </w:p>
    <w:p w:rsidR="0053454F" w:rsidRPr="00343AC0" w:rsidRDefault="0053454F" w:rsidP="0053454F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 xml:space="preserve">zavedenie </w:t>
      </w:r>
      <w:proofErr w:type="spellStart"/>
      <w:r w:rsidRPr="00343AC0">
        <w:rPr>
          <w:rFonts w:eastAsia="Times New Roman"/>
          <w:i/>
          <w:sz w:val="22"/>
          <w:szCs w:val="22"/>
          <w:lang w:eastAsia="sk-SK"/>
        </w:rPr>
        <w:t>benchmarkov</w:t>
      </w:r>
      <w:proofErr w:type="spellEnd"/>
      <w:r w:rsidRPr="00343AC0">
        <w:rPr>
          <w:rFonts w:eastAsia="Times New Roman"/>
          <w:i/>
          <w:sz w:val="22"/>
          <w:szCs w:val="22"/>
          <w:lang w:eastAsia="sk-SK"/>
        </w:rPr>
        <w:t xml:space="preserve"> – kvantifikácia merateľných ukazovateľov, definovanie </w:t>
      </w:r>
      <w:r w:rsidRPr="00343AC0">
        <w:rPr>
          <w:i/>
          <w:sz w:val="22"/>
          <w:szCs w:val="22"/>
        </w:rPr>
        <w:t>zmluvy o zabezpečení výkonov</w:t>
      </w:r>
      <w:r w:rsidR="00201C66" w:rsidRPr="00343AC0">
        <w:rPr>
          <w:i/>
          <w:sz w:val="22"/>
          <w:szCs w:val="22"/>
        </w:rPr>
        <w:t xml:space="preserve"> prác vo verejnom záujme </w:t>
      </w:r>
      <w:r w:rsidRPr="00343AC0">
        <w:rPr>
          <w:i/>
          <w:sz w:val="22"/>
          <w:szCs w:val="22"/>
        </w:rPr>
        <w:t xml:space="preserve">so všetkými obchodnými spoločnosťami </w:t>
      </w:r>
      <w:r w:rsidR="00A13891" w:rsidRPr="00343AC0">
        <w:rPr>
          <w:i/>
          <w:sz w:val="22"/>
          <w:szCs w:val="22"/>
        </w:rPr>
        <w:t xml:space="preserve">a </w:t>
      </w:r>
      <w:r w:rsidRPr="00343AC0">
        <w:rPr>
          <w:i/>
          <w:sz w:val="22"/>
          <w:szCs w:val="22"/>
        </w:rPr>
        <w:t xml:space="preserve">príspevkovou spoločnosťou mesta, </w:t>
      </w:r>
    </w:p>
    <w:p w:rsidR="0053454F" w:rsidRPr="00343AC0" w:rsidRDefault="00201C66" w:rsidP="0053454F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 xml:space="preserve">zverejňovanie </w:t>
      </w:r>
      <w:r w:rsidR="00A90160" w:rsidRPr="00343AC0">
        <w:rPr>
          <w:rFonts w:eastAsia="Times New Roman"/>
          <w:i/>
          <w:sz w:val="22"/>
          <w:szCs w:val="22"/>
          <w:lang w:eastAsia="sk-SK"/>
        </w:rPr>
        <w:t xml:space="preserve">zmlúv </w:t>
      </w:r>
      <w:r w:rsidR="00D0131E" w:rsidRPr="00343AC0">
        <w:rPr>
          <w:rFonts w:eastAsia="Times New Roman"/>
          <w:i/>
          <w:sz w:val="22"/>
          <w:szCs w:val="22"/>
          <w:lang w:eastAsia="sk-SK"/>
        </w:rPr>
        <w:t xml:space="preserve">a faktúr obchodných spoločností </w:t>
      </w:r>
      <w:r w:rsidR="00A90160" w:rsidRPr="00343AC0">
        <w:rPr>
          <w:rFonts w:eastAsia="Times New Roman"/>
          <w:i/>
          <w:sz w:val="22"/>
          <w:szCs w:val="22"/>
          <w:lang w:eastAsia="sk-SK"/>
        </w:rPr>
        <w:t xml:space="preserve">prostredníctvom webového sídla spoločností, príp. náhradným spôsobom, </w:t>
      </w:r>
    </w:p>
    <w:p w:rsidR="0053454F" w:rsidRPr="00343AC0" w:rsidRDefault="00A90160" w:rsidP="0053454F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>uplatnenie väčšej osobnej zainteresovanosti vedúcich oddelení a konateľov obchodných spoločností ako aj jednotlivých správcov kapitol príjmovej a výdavkovej časti programov rozpočtu pri tvorbe, napĺňaní, správe a čerpaní programového rozpočtu mesta za účelom vytvárania dostatočných vlastných (nie dlhových) finančných zdrojov pre ďalšie zhodnocovanie majetku a rozvoj mesta,</w:t>
      </w:r>
    </w:p>
    <w:p w:rsidR="00C73B28" w:rsidRPr="00343AC0" w:rsidRDefault="00CE3170" w:rsidP="006D0218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>r</w:t>
      </w:r>
      <w:r w:rsidR="00C73B28" w:rsidRPr="00343AC0">
        <w:rPr>
          <w:rFonts w:eastAsia="Times New Roman"/>
          <w:i/>
          <w:sz w:val="22"/>
          <w:szCs w:val="22"/>
          <w:lang w:eastAsia="sk-SK"/>
        </w:rPr>
        <w:t>iešenie zmluvných vzťahov, napr.</w:t>
      </w:r>
      <w:r w:rsidR="00253411" w:rsidRPr="00343AC0">
        <w:rPr>
          <w:rFonts w:eastAsia="Times New Roman"/>
          <w:i/>
          <w:sz w:val="22"/>
          <w:szCs w:val="22"/>
          <w:lang w:eastAsia="sk-SK"/>
        </w:rPr>
        <w:t xml:space="preserve"> pracovný pomer alebo obdobný právny pomer členov </w:t>
      </w:r>
      <w:r w:rsidR="0053454F" w:rsidRPr="00343AC0">
        <w:rPr>
          <w:rFonts w:eastAsia="Times New Roman"/>
          <w:i/>
          <w:sz w:val="22"/>
          <w:szCs w:val="22"/>
          <w:lang w:eastAsia="sk-SK"/>
        </w:rPr>
        <w:t>dozorných rád</w:t>
      </w:r>
      <w:r w:rsidR="00253411" w:rsidRPr="00343AC0">
        <w:rPr>
          <w:rFonts w:eastAsia="Times New Roman"/>
          <w:i/>
          <w:sz w:val="22"/>
          <w:szCs w:val="22"/>
          <w:lang w:eastAsia="sk-SK"/>
        </w:rPr>
        <w:t xml:space="preserve"> obchodných spoločností</w:t>
      </w:r>
      <w:r w:rsidR="00C73B28" w:rsidRPr="00343AC0">
        <w:rPr>
          <w:rFonts w:eastAsia="Times New Roman"/>
          <w:i/>
          <w:sz w:val="22"/>
          <w:szCs w:val="22"/>
          <w:lang w:eastAsia="sk-SK"/>
        </w:rPr>
        <w:t xml:space="preserve"> vo vzťahu ku </w:t>
      </w:r>
      <w:r w:rsidR="0053454F" w:rsidRPr="00343AC0">
        <w:rPr>
          <w:rFonts w:eastAsia="Times New Roman"/>
          <w:i/>
          <w:sz w:val="22"/>
          <w:szCs w:val="22"/>
          <w:lang w:eastAsia="sk-SK"/>
        </w:rPr>
        <w:t xml:space="preserve">obchodnej </w:t>
      </w:r>
      <w:r w:rsidR="00C73B28" w:rsidRPr="00343AC0">
        <w:rPr>
          <w:rFonts w:eastAsia="Times New Roman"/>
          <w:i/>
          <w:sz w:val="22"/>
          <w:szCs w:val="22"/>
          <w:lang w:eastAsia="sk-SK"/>
        </w:rPr>
        <w:t xml:space="preserve">spoločnosti, </w:t>
      </w:r>
    </w:p>
    <w:p w:rsidR="00EA6A0A" w:rsidRPr="00343AC0" w:rsidRDefault="00C8206E" w:rsidP="006D0218">
      <w:pPr>
        <w:pStyle w:val="Default"/>
        <w:numPr>
          <w:ilvl w:val="0"/>
          <w:numId w:val="27"/>
        </w:numPr>
        <w:spacing w:line="276" w:lineRule="auto"/>
        <w:jc w:val="both"/>
        <w:rPr>
          <w:rFonts w:eastAsia="Times New Roman"/>
          <w:i/>
          <w:sz w:val="22"/>
          <w:szCs w:val="22"/>
          <w:lang w:eastAsia="sk-SK"/>
        </w:rPr>
      </w:pPr>
      <w:r w:rsidRPr="00343AC0">
        <w:rPr>
          <w:rFonts w:eastAsia="Times New Roman"/>
          <w:i/>
          <w:sz w:val="22"/>
          <w:szCs w:val="22"/>
          <w:lang w:eastAsia="sk-SK"/>
        </w:rPr>
        <w:t xml:space="preserve">rozšírenie zodpovednosti a decentralizácia riadenia obchodných spoločností formou </w:t>
      </w:r>
      <w:r w:rsidR="0006556A">
        <w:rPr>
          <w:rFonts w:eastAsia="Times New Roman"/>
          <w:i/>
          <w:sz w:val="22"/>
          <w:szCs w:val="22"/>
          <w:lang w:eastAsia="sk-SK"/>
        </w:rPr>
        <w:t>spolu</w:t>
      </w:r>
      <w:r w:rsidRPr="00343AC0">
        <w:rPr>
          <w:rFonts w:eastAsia="Times New Roman"/>
          <w:i/>
          <w:sz w:val="22"/>
          <w:szCs w:val="22"/>
          <w:lang w:eastAsia="sk-SK"/>
        </w:rPr>
        <w:t xml:space="preserve">účasti </w:t>
      </w:r>
      <w:r w:rsidR="0006556A">
        <w:rPr>
          <w:rFonts w:eastAsia="Times New Roman"/>
          <w:i/>
          <w:sz w:val="22"/>
          <w:szCs w:val="22"/>
          <w:lang w:eastAsia="sk-SK"/>
        </w:rPr>
        <w:t xml:space="preserve">na valnom zhromaždení </w:t>
      </w:r>
      <w:r w:rsidRPr="00343AC0">
        <w:rPr>
          <w:rFonts w:eastAsia="Times New Roman"/>
          <w:i/>
          <w:sz w:val="22"/>
          <w:szCs w:val="22"/>
          <w:lang w:eastAsia="sk-SK"/>
        </w:rPr>
        <w:t>a zainteresovanosti poslancov mestského zastupiteľstva</w:t>
      </w:r>
      <w:r w:rsidR="00D0131E" w:rsidRPr="00343AC0">
        <w:rPr>
          <w:i/>
        </w:rPr>
        <w:t xml:space="preserve">; </w:t>
      </w:r>
      <w:r w:rsidRPr="00343AC0">
        <w:rPr>
          <w:rFonts w:eastAsia="Times New Roman"/>
          <w:i/>
          <w:sz w:val="22"/>
          <w:szCs w:val="22"/>
          <w:lang w:eastAsia="sk-SK"/>
        </w:rPr>
        <w:t xml:space="preserve"> </w:t>
      </w:r>
    </w:p>
    <w:p w:rsidR="0053454F" w:rsidRPr="00343AC0" w:rsidRDefault="0053454F" w:rsidP="00C1497A">
      <w:pPr>
        <w:pStyle w:val="Default"/>
        <w:spacing w:line="276" w:lineRule="auto"/>
        <w:ind w:left="720"/>
        <w:jc w:val="both"/>
        <w:rPr>
          <w:rFonts w:eastAsia="Times New Roman"/>
          <w:i/>
          <w:sz w:val="22"/>
          <w:szCs w:val="22"/>
          <w:lang w:eastAsia="sk-SK"/>
        </w:rPr>
      </w:pPr>
    </w:p>
    <w:p w:rsidR="00D0131E" w:rsidRPr="00343AC0" w:rsidRDefault="0006556A" w:rsidP="00D0131E">
      <w:pPr>
        <w:pStyle w:val="Default"/>
        <w:numPr>
          <w:ilvl w:val="0"/>
          <w:numId w:val="43"/>
        </w:numPr>
        <w:spacing w:line="276" w:lineRule="auto"/>
        <w:jc w:val="both"/>
        <w:rPr>
          <w:rFonts w:eastAsia="Times New Roman"/>
          <w:b/>
          <w:i/>
          <w:smallCaps/>
          <w:sz w:val="22"/>
          <w:szCs w:val="22"/>
          <w:lang w:eastAsia="sk-SK"/>
        </w:rPr>
      </w:pPr>
      <w:r>
        <w:rPr>
          <w:rFonts w:eastAsia="Times New Roman"/>
          <w:b/>
          <w:i/>
          <w:smallCaps/>
          <w:sz w:val="22"/>
          <w:szCs w:val="22"/>
          <w:lang w:eastAsia="sk-SK"/>
        </w:rPr>
        <w:t>č</w:t>
      </w:r>
      <w:r w:rsidR="00343AC0">
        <w:rPr>
          <w:rFonts w:eastAsia="Times New Roman"/>
          <w:b/>
          <w:i/>
          <w:smallCaps/>
          <w:sz w:val="22"/>
          <w:szCs w:val="22"/>
          <w:lang w:eastAsia="sk-SK"/>
        </w:rPr>
        <w:t>asť</w:t>
      </w:r>
      <w:r w:rsidR="00D0131E" w:rsidRPr="00343AC0">
        <w:rPr>
          <w:rFonts w:eastAsia="Times New Roman"/>
          <w:b/>
          <w:i/>
          <w:smallCaps/>
          <w:sz w:val="22"/>
          <w:szCs w:val="22"/>
          <w:lang w:eastAsia="sk-SK"/>
        </w:rPr>
        <w:t xml:space="preserve"> – rozvojové </w:t>
      </w:r>
      <w:r w:rsidR="00343AC0" w:rsidRPr="00343AC0">
        <w:rPr>
          <w:rFonts w:eastAsia="Times New Roman"/>
          <w:b/>
          <w:i/>
          <w:smallCaps/>
          <w:sz w:val="22"/>
          <w:szCs w:val="22"/>
          <w:lang w:eastAsia="sk-SK"/>
        </w:rPr>
        <w:t>opatrenia</w:t>
      </w:r>
    </w:p>
    <w:p w:rsidR="000E0E97" w:rsidRPr="000E0E97" w:rsidRDefault="00343AC0" w:rsidP="000E0E9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0E0E97">
        <w:rPr>
          <w:rFonts w:ascii="Times New Roman" w:eastAsia="Times New Roman" w:hAnsi="Times New Roman" w:cs="Times New Roman"/>
          <w:i/>
          <w:lang w:eastAsia="sk-SK"/>
        </w:rPr>
        <w:t xml:space="preserve">ďalšie hľadanie disponibilných finančných prostriedkov mesta vyplývajúcich zo štrukturálnych zmien činnosti mesta a obchodných spoločností, prerozdelenia činností vykonávaných v rámci príspevku príp. obchodnej činnosti mestských spoločností, </w:t>
      </w:r>
    </w:p>
    <w:p w:rsidR="00343AC0" w:rsidRPr="000E0E97" w:rsidRDefault="00063E30" w:rsidP="000E0E97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</w:rPr>
        <w:t>zmluvne podchytenie záväzkových</w:t>
      </w:r>
      <w:r w:rsidR="000E0E97" w:rsidRPr="000E0E97">
        <w:rPr>
          <w:rFonts w:ascii="Times New Roman" w:hAnsi="Times New Roman" w:cs="Times New Roman"/>
          <w:i/>
        </w:rPr>
        <w:t xml:space="preserve"> vzťah</w:t>
      </w:r>
      <w:r>
        <w:rPr>
          <w:rFonts w:ascii="Times New Roman" w:hAnsi="Times New Roman" w:cs="Times New Roman"/>
          <w:i/>
        </w:rPr>
        <w:t>ov</w:t>
      </w:r>
      <w:r w:rsidR="000E0E97" w:rsidRPr="000E0E97">
        <w:rPr>
          <w:rFonts w:ascii="Times New Roman" w:hAnsi="Times New Roman" w:cs="Times New Roman"/>
          <w:i/>
        </w:rPr>
        <w:t xml:space="preserve"> poskytovaných dotácií  vo verejnom záujme (</w:t>
      </w:r>
      <w:r>
        <w:rPr>
          <w:rFonts w:ascii="Times New Roman" w:hAnsi="Times New Roman" w:cs="Times New Roman"/>
          <w:i/>
        </w:rPr>
        <w:t xml:space="preserve">nie iba </w:t>
      </w:r>
      <w:r w:rsidR="000E0E97" w:rsidRPr="000E0E97">
        <w:rPr>
          <w:rFonts w:ascii="Times New Roman" w:hAnsi="Times New Roman" w:cs="Times New Roman"/>
          <w:i/>
        </w:rPr>
        <w:t xml:space="preserve">na základe uznesenia </w:t>
      </w:r>
      <w:proofErr w:type="spellStart"/>
      <w:r w:rsidR="000E0E97" w:rsidRPr="000E0E97">
        <w:rPr>
          <w:rFonts w:ascii="Times New Roman" w:hAnsi="Times New Roman" w:cs="Times New Roman"/>
          <w:i/>
        </w:rPr>
        <w:t>MsZ</w:t>
      </w:r>
      <w:proofErr w:type="spellEnd"/>
      <w:r w:rsidR="000E0E97" w:rsidRPr="000E0E97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 exaktne vymedzenie</w:t>
      </w:r>
      <w:r w:rsidR="000E0E97">
        <w:rPr>
          <w:rFonts w:ascii="Times New Roman" w:hAnsi="Times New Roman" w:cs="Times New Roman"/>
          <w:i/>
        </w:rPr>
        <w:t xml:space="preserve"> práv</w:t>
      </w:r>
      <w:r>
        <w:rPr>
          <w:rFonts w:ascii="Times New Roman" w:hAnsi="Times New Roman" w:cs="Times New Roman"/>
          <w:i/>
        </w:rPr>
        <w:t xml:space="preserve"> </w:t>
      </w:r>
      <w:r w:rsidR="000E0E97">
        <w:rPr>
          <w:rFonts w:ascii="Times New Roman" w:hAnsi="Times New Roman" w:cs="Times New Roman"/>
          <w:i/>
        </w:rPr>
        <w:t xml:space="preserve">a povinností oboch strán a jasné </w:t>
      </w:r>
      <w:r>
        <w:rPr>
          <w:rFonts w:ascii="Times New Roman" w:hAnsi="Times New Roman" w:cs="Times New Roman"/>
          <w:i/>
        </w:rPr>
        <w:t xml:space="preserve">definovanie </w:t>
      </w:r>
      <w:r w:rsidR="000E0E97">
        <w:rPr>
          <w:rFonts w:ascii="Times New Roman" w:hAnsi="Times New Roman" w:cs="Times New Roman"/>
          <w:i/>
        </w:rPr>
        <w:t>podmien</w:t>
      </w:r>
      <w:r>
        <w:rPr>
          <w:rFonts w:ascii="Times New Roman" w:hAnsi="Times New Roman" w:cs="Times New Roman"/>
          <w:i/>
        </w:rPr>
        <w:t xml:space="preserve">ok poskytovania </w:t>
      </w:r>
      <w:r w:rsidR="000E0E97">
        <w:rPr>
          <w:rFonts w:ascii="Times New Roman" w:hAnsi="Times New Roman" w:cs="Times New Roman"/>
          <w:i/>
        </w:rPr>
        <w:t xml:space="preserve">úhrad za výkony vo verejnom záujme na poklade smerných ukazovateľov – orientácia na hospodárnosť a efektívnosť, </w:t>
      </w:r>
    </w:p>
    <w:p w:rsidR="00343AC0" w:rsidRDefault="0053454F" w:rsidP="008D12AB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>tvorb</w:t>
      </w:r>
      <w:r w:rsidR="00560165" w:rsidRPr="00343AC0">
        <w:rPr>
          <w:i/>
          <w:sz w:val="22"/>
          <w:szCs w:val="22"/>
        </w:rPr>
        <w:t>u</w:t>
      </w:r>
      <w:r w:rsidRPr="00343AC0">
        <w:rPr>
          <w:i/>
          <w:sz w:val="22"/>
          <w:szCs w:val="22"/>
        </w:rPr>
        <w:t>, spracovani</w:t>
      </w:r>
      <w:r w:rsidR="00560165" w:rsidRPr="00343AC0">
        <w:rPr>
          <w:i/>
          <w:sz w:val="22"/>
          <w:szCs w:val="22"/>
        </w:rPr>
        <w:t>e</w:t>
      </w:r>
      <w:r w:rsidRPr="00343AC0">
        <w:rPr>
          <w:i/>
          <w:sz w:val="22"/>
          <w:szCs w:val="22"/>
        </w:rPr>
        <w:t xml:space="preserve"> a prijímani</w:t>
      </w:r>
      <w:r w:rsidR="00560165" w:rsidRPr="00343AC0">
        <w:rPr>
          <w:i/>
          <w:sz w:val="22"/>
          <w:szCs w:val="22"/>
        </w:rPr>
        <w:t>e</w:t>
      </w:r>
      <w:r w:rsidRPr="00343AC0">
        <w:rPr>
          <w:i/>
          <w:sz w:val="22"/>
          <w:szCs w:val="22"/>
        </w:rPr>
        <w:t xml:space="preserve"> strednodobých a dlhodobých plánov v oblasti</w:t>
      </w:r>
      <w:r w:rsidR="00E04D56" w:rsidRPr="00343AC0">
        <w:rPr>
          <w:i/>
          <w:sz w:val="22"/>
          <w:szCs w:val="22"/>
        </w:rPr>
        <w:t xml:space="preserve"> rozvoja infraštruktúry mesta, </w:t>
      </w:r>
    </w:p>
    <w:p w:rsidR="0053454F" w:rsidRPr="00343AC0" w:rsidRDefault="0053454F" w:rsidP="008D12AB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 xml:space="preserve">presadzovanie vypracovania ďalšieho postupu výstavby líniových stavieb s dôrazom na rozostavané stavby kanalizačných a vodárenských sústav vrátane komplexného spôsobu ich financovania nielen z fondov EÚ, ale aj zo štátneho rozpočtu, </w:t>
      </w:r>
      <w:r w:rsidR="00745BEC" w:rsidRPr="00343AC0">
        <w:rPr>
          <w:i/>
          <w:sz w:val="22"/>
          <w:szCs w:val="22"/>
        </w:rPr>
        <w:t xml:space="preserve">príp. viaczdrojového financovania mesta, ŠFRB a fyzických osôb, </w:t>
      </w:r>
    </w:p>
    <w:p w:rsidR="0053454F" w:rsidRPr="00343AC0" w:rsidRDefault="00ED4128" w:rsidP="00C1497A">
      <w:pPr>
        <w:pStyle w:val="Default"/>
        <w:numPr>
          <w:ilvl w:val="0"/>
          <w:numId w:val="27"/>
        </w:numPr>
        <w:spacing w:line="276" w:lineRule="auto"/>
        <w:jc w:val="both"/>
        <w:rPr>
          <w:i/>
          <w:iCs/>
          <w:smallCaps/>
          <w:sz w:val="22"/>
          <w:szCs w:val="22"/>
        </w:rPr>
      </w:pPr>
      <w:r w:rsidRPr="00343AC0">
        <w:rPr>
          <w:i/>
          <w:sz w:val="22"/>
          <w:szCs w:val="22"/>
        </w:rPr>
        <w:lastRenderedPageBreak/>
        <w:t>a</w:t>
      </w:r>
      <w:r w:rsidR="00CE3170" w:rsidRPr="00343AC0">
        <w:rPr>
          <w:i/>
          <w:sz w:val="22"/>
          <w:szCs w:val="22"/>
        </w:rPr>
        <w:t>lokáci</w:t>
      </w:r>
      <w:r w:rsidR="0086143C" w:rsidRPr="00343AC0">
        <w:rPr>
          <w:i/>
          <w:sz w:val="22"/>
          <w:szCs w:val="22"/>
        </w:rPr>
        <w:t>u</w:t>
      </w:r>
      <w:r w:rsidR="00CE3170" w:rsidRPr="00343AC0">
        <w:rPr>
          <w:i/>
          <w:sz w:val="22"/>
          <w:szCs w:val="22"/>
        </w:rPr>
        <w:t xml:space="preserve"> vlastných finančných prostriedkov v rámci Programu 10 Rozvoja bývania na financovanie </w:t>
      </w:r>
      <w:r w:rsidR="0006556A">
        <w:rPr>
          <w:i/>
          <w:sz w:val="22"/>
          <w:szCs w:val="22"/>
        </w:rPr>
        <w:t xml:space="preserve">(resp. odkupovanie majetkových a vlastníckych práv) </w:t>
      </w:r>
      <w:r w:rsidR="00CE3170" w:rsidRPr="00343AC0">
        <w:rPr>
          <w:i/>
          <w:sz w:val="22"/>
          <w:szCs w:val="22"/>
        </w:rPr>
        <w:t xml:space="preserve">technickej infraštruktúry v oblasti </w:t>
      </w:r>
      <w:r w:rsidRPr="00343AC0">
        <w:rPr>
          <w:i/>
          <w:sz w:val="22"/>
          <w:szCs w:val="22"/>
        </w:rPr>
        <w:t xml:space="preserve">vytvárania technických podmienok </w:t>
      </w:r>
      <w:r w:rsidR="0086143C" w:rsidRPr="00343AC0">
        <w:rPr>
          <w:i/>
          <w:sz w:val="22"/>
          <w:szCs w:val="22"/>
        </w:rPr>
        <w:t xml:space="preserve">na individuálnu bytovú výstavbu, </w:t>
      </w:r>
    </w:p>
    <w:p w:rsidR="0069695F" w:rsidRPr="00343AC0" w:rsidRDefault="00ED4128" w:rsidP="00C1497A">
      <w:pPr>
        <w:pStyle w:val="Default"/>
        <w:numPr>
          <w:ilvl w:val="0"/>
          <w:numId w:val="27"/>
        </w:numPr>
        <w:spacing w:line="276" w:lineRule="auto"/>
        <w:jc w:val="both"/>
        <w:rPr>
          <w:i/>
          <w:iCs/>
          <w:smallCaps/>
          <w:sz w:val="22"/>
          <w:szCs w:val="22"/>
        </w:rPr>
      </w:pPr>
      <w:r w:rsidRPr="00343AC0">
        <w:rPr>
          <w:i/>
          <w:sz w:val="22"/>
          <w:szCs w:val="22"/>
        </w:rPr>
        <w:t>zintenzívnenie komunikácie a dôslednejšie</w:t>
      </w:r>
      <w:r w:rsidR="00C1497A" w:rsidRPr="00343AC0">
        <w:rPr>
          <w:i/>
          <w:sz w:val="22"/>
          <w:szCs w:val="22"/>
        </w:rPr>
        <w:t>ho</w:t>
      </w:r>
      <w:r w:rsidRPr="00343AC0">
        <w:rPr>
          <w:i/>
          <w:sz w:val="22"/>
          <w:szCs w:val="22"/>
        </w:rPr>
        <w:t xml:space="preserve"> uplatňovani</w:t>
      </w:r>
      <w:r w:rsidR="00C1497A" w:rsidRPr="00343AC0">
        <w:rPr>
          <w:i/>
          <w:sz w:val="22"/>
          <w:szCs w:val="22"/>
        </w:rPr>
        <w:t>a</w:t>
      </w:r>
      <w:r w:rsidRPr="00343AC0">
        <w:rPr>
          <w:i/>
          <w:sz w:val="22"/>
          <w:szCs w:val="22"/>
        </w:rPr>
        <w:t xml:space="preserve"> akcionárskych práv v Podtatranskej vodárenskej spoločnosti, </w:t>
      </w:r>
      <w:proofErr w:type="spellStart"/>
      <w:r w:rsidRPr="00343AC0">
        <w:rPr>
          <w:i/>
          <w:sz w:val="22"/>
          <w:szCs w:val="22"/>
        </w:rPr>
        <w:t>a.s</w:t>
      </w:r>
      <w:proofErr w:type="spellEnd"/>
      <w:r w:rsidRPr="00343AC0">
        <w:rPr>
          <w:i/>
          <w:sz w:val="22"/>
          <w:szCs w:val="22"/>
        </w:rPr>
        <w:t xml:space="preserve">. za účelom </w:t>
      </w:r>
      <w:r w:rsidR="009E1944" w:rsidRPr="00343AC0">
        <w:rPr>
          <w:i/>
          <w:sz w:val="22"/>
          <w:szCs w:val="22"/>
        </w:rPr>
        <w:t xml:space="preserve">posilňovania kapacít, príp. vytvárania nových </w:t>
      </w:r>
      <w:r w:rsidR="00402D6C" w:rsidRPr="00343AC0">
        <w:rPr>
          <w:i/>
          <w:sz w:val="22"/>
          <w:szCs w:val="22"/>
        </w:rPr>
        <w:t>inžinierskych</w:t>
      </w:r>
      <w:r w:rsidR="00D0131E" w:rsidRPr="00343AC0">
        <w:rPr>
          <w:i/>
          <w:sz w:val="22"/>
          <w:szCs w:val="22"/>
        </w:rPr>
        <w:t xml:space="preserve"> sietí, </w:t>
      </w:r>
    </w:p>
    <w:p w:rsidR="00343AC0" w:rsidRPr="00343AC0" w:rsidRDefault="00343AC0" w:rsidP="00343AC0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43AC0">
        <w:rPr>
          <w:rFonts w:ascii="Times New Roman" w:hAnsi="Times New Roman" w:cs="Times New Roman"/>
          <w:i/>
        </w:rPr>
        <w:t xml:space="preserve">zváženie zriadenia strediska – sociálny podnik za účelom zapojenia znevýhodnených skupín obyvateľstva do pracovného procesu, </w:t>
      </w:r>
      <w:proofErr w:type="spellStart"/>
      <w:r w:rsidRPr="00343AC0">
        <w:rPr>
          <w:rFonts w:ascii="Times New Roman" w:hAnsi="Times New Roman" w:cs="Times New Roman"/>
          <w:i/>
        </w:rPr>
        <w:t>o.i</w:t>
      </w:r>
      <w:proofErr w:type="spellEnd"/>
      <w:r w:rsidRPr="00343AC0">
        <w:rPr>
          <w:rFonts w:ascii="Times New Roman" w:hAnsi="Times New Roman" w:cs="Times New Roman"/>
          <w:i/>
        </w:rPr>
        <w:t xml:space="preserve">. aj prostredníctvom podporných programov, </w:t>
      </w:r>
    </w:p>
    <w:p w:rsidR="00D0131E" w:rsidRPr="00343AC0" w:rsidRDefault="00D0131E" w:rsidP="00D0131E">
      <w:pPr>
        <w:pStyle w:val="Default"/>
        <w:spacing w:line="276" w:lineRule="auto"/>
        <w:ind w:left="720"/>
        <w:jc w:val="both"/>
        <w:rPr>
          <w:i/>
          <w:iCs/>
          <w:smallCaps/>
          <w:sz w:val="22"/>
          <w:szCs w:val="22"/>
        </w:rPr>
      </w:pPr>
    </w:p>
    <w:p w:rsidR="00D0131E" w:rsidRPr="00343AC0" w:rsidRDefault="00D0131E" w:rsidP="00D0131E">
      <w:pPr>
        <w:pStyle w:val="Default"/>
        <w:numPr>
          <w:ilvl w:val="0"/>
          <w:numId w:val="43"/>
        </w:numPr>
        <w:spacing w:line="276" w:lineRule="auto"/>
        <w:jc w:val="both"/>
        <w:rPr>
          <w:b/>
          <w:i/>
          <w:iCs/>
          <w:smallCaps/>
          <w:sz w:val="22"/>
          <w:szCs w:val="22"/>
        </w:rPr>
      </w:pPr>
      <w:r w:rsidRPr="00343AC0">
        <w:rPr>
          <w:rFonts w:eastAsia="Times New Roman"/>
          <w:b/>
          <w:i/>
          <w:smallCaps/>
          <w:sz w:val="22"/>
          <w:szCs w:val="22"/>
          <w:lang w:eastAsia="sk-SK"/>
        </w:rPr>
        <w:t xml:space="preserve">časť </w:t>
      </w:r>
      <w:r w:rsidRPr="00343AC0">
        <w:rPr>
          <w:b/>
          <w:i/>
          <w:iCs/>
          <w:smallCaps/>
          <w:sz w:val="22"/>
          <w:szCs w:val="22"/>
        </w:rPr>
        <w:t>_ rozpočtov</w:t>
      </w:r>
      <w:r w:rsidR="0006556A">
        <w:rPr>
          <w:b/>
          <w:i/>
          <w:iCs/>
          <w:smallCaps/>
          <w:sz w:val="22"/>
          <w:szCs w:val="22"/>
        </w:rPr>
        <w:t>o</w:t>
      </w:r>
      <w:r w:rsidRPr="00343AC0">
        <w:rPr>
          <w:b/>
          <w:i/>
          <w:iCs/>
          <w:smallCaps/>
          <w:sz w:val="22"/>
          <w:szCs w:val="22"/>
        </w:rPr>
        <w:t xml:space="preserve"> – analytické </w:t>
      </w:r>
      <w:r w:rsidR="00343AC0" w:rsidRPr="00343AC0">
        <w:rPr>
          <w:rFonts w:eastAsia="Times New Roman"/>
          <w:b/>
          <w:i/>
          <w:smallCaps/>
          <w:sz w:val="22"/>
          <w:szCs w:val="22"/>
          <w:lang w:eastAsia="sk-SK"/>
        </w:rPr>
        <w:t>opatrenia</w:t>
      </w:r>
    </w:p>
    <w:p w:rsidR="00D0131E" w:rsidRPr="00343AC0" w:rsidRDefault="00D0131E" w:rsidP="00D0131E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43AC0">
        <w:rPr>
          <w:rFonts w:ascii="Times New Roman" w:hAnsi="Times New Roman" w:cs="Times New Roman"/>
          <w:i/>
        </w:rPr>
        <w:t>presadzovanie a zavádzanie takých finančných nástrojov pre samosprávu, ktorými sa bude zvyšovať miera ich samofinancovania meraná pomerom vlastných príjmov vrátane bežných transferov k bežným výdavkom,</w:t>
      </w:r>
    </w:p>
    <w:p w:rsidR="00D0131E" w:rsidRPr="00343AC0" w:rsidRDefault="00D0131E" w:rsidP="00D0131E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43AC0">
        <w:rPr>
          <w:rFonts w:ascii="Times New Roman" w:hAnsi="Times New Roman" w:cs="Times New Roman"/>
          <w:i/>
        </w:rPr>
        <w:t>zváženie zavedenia sociálnych aspektov verejného obstarávania za účelom podpory rozvoja miestnej ekonomiky (jeden z možných princípov, ktorý poskytuje zákon o verejnom obstarávaní),</w:t>
      </w:r>
    </w:p>
    <w:p w:rsidR="00C1497A" w:rsidRPr="00343AC0" w:rsidRDefault="00EC17EB" w:rsidP="00C1497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343AC0">
        <w:rPr>
          <w:rStyle w:val="Zvraznenie"/>
          <w:rFonts w:ascii="Times New Roman" w:hAnsi="Times New Roman" w:cs="Times New Roman"/>
        </w:rPr>
        <w:t xml:space="preserve">vybudovanie vnútorných mechanizmov a pravidiel umožňujúcich rozhodovanie na základe najvyššej hodnoty za verejné peniaze, </w:t>
      </w:r>
      <w:r w:rsidR="00EA6A0A" w:rsidRPr="00343AC0">
        <w:rPr>
          <w:rStyle w:val="Zvraznenie"/>
          <w:rFonts w:ascii="Times New Roman" w:hAnsi="Times New Roman" w:cs="Times New Roman"/>
        </w:rPr>
        <w:t xml:space="preserve">vyhodnotenie efektivity prijímaním rozhodnutí súvisiacich s nakladaním majetku mesta a posudzovaním aj v širších súvislostiach a v dlhšom časovom období, </w:t>
      </w:r>
    </w:p>
    <w:p w:rsidR="00EF0FDB" w:rsidRPr="001B346D" w:rsidRDefault="00EF0FDB" w:rsidP="00C1497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343AC0">
        <w:rPr>
          <w:rFonts w:ascii="Times New Roman" w:hAnsi="Times New Roman" w:cs="Times New Roman"/>
          <w:i/>
        </w:rPr>
        <w:t>presadzova</w:t>
      </w:r>
      <w:r w:rsidR="00C1497A" w:rsidRPr="00343AC0">
        <w:rPr>
          <w:rFonts w:ascii="Times New Roman" w:hAnsi="Times New Roman" w:cs="Times New Roman"/>
          <w:i/>
        </w:rPr>
        <w:t>nie zavádzania</w:t>
      </w:r>
      <w:r w:rsidRPr="00343AC0">
        <w:rPr>
          <w:rFonts w:ascii="Times New Roman" w:hAnsi="Times New Roman" w:cs="Times New Roman"/>
          <w:i/>
        </w:rPr>
        <w:t> kvalitatívnych prvkov do systému normatívneho fina</w:t>
      </w:r>
      <w:r w:rsidR="0053454F" w:rsidRPr="00343AC0">
        <w:rPr>
          <w:rFonts w:ascii="Times New Roman" w:hAnsi="Times New Roman" w:cs="Times New Roman"/>
          <w:i/>
        </w:rPr>
        <w:t xml:space="preserve">ncovania, </w:t>
      </w:r>
    </w:p>
    <w:p w:rsidR="00532715" w:rsidRPr="00343AC0" w:rsidRDefault="00EF0FDB" w:rsidP="00C1497A">
      <w:pPr>
        <w:pStyle w:val="Default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>optimalizáci</w:t>
      </w:r>
      <w:r w:rsidR="00532715" w:rsidRPr="00343AC0">
        <w:rPr>
          <w:i/>
          <w:sz w:val="22"/>
          <w:szCs w:val="22"/>
        </w:rPr>
        <w:t>u</w:t>
      </w:r>
      <w:r w:rsidRPr="00343AC0">
        <w:rPr>
          <w:i/>
          <w:sz w:val="22"/>
          <w:szCs w:val="22"/>
        </w:rPr>
        <w:t xml:space="preserve"> siete zákla</w:t>
      </w:r>
      <w:r w:rsidR="00532715" w:rsidRPr="00343AC0">
        <w:rPr>
          <w:i/>
          <w:sz w:val="22"/>
          <w:szCs w:val="22"/>
        </w:rPr>
        <w:t xml:space="preserve">dných škôl a školských zariadení, za účelom </w:t>
      </w:r>
      <w:r w:rsidR="00C1497A" w:rsidRPr="00343AC0">
        <w:rPr>
          <w:i/>
          <w:sz w:val="22"/>
          <w:szCs w:val="22"/>
        </w:rPr>
        <w:t>posilnenia</w:t>
      </w:r>
      <w:r w:rsidRPr="00343AC0">
        <w:rPr>
          <w:i/>
          <w:sz w:val="22"/>
          <w:szCs w:val="22"/>
        </w:rPr>
        <w:t xml:space="preserve"> </w:t>
      </w:r>
      <w:r w:rsidR="00C1497A" w:rsidRPr="00343AC0">
        <w:rPr>
          <w:i/>
          <w:sz w:val="22"/>
          <w:szCs w:val="22"/>
        </w:rPr>
        <w:t xml:space="preserve">a využívania výhod z koncentrácie infraštruktúry, </w:t>
      </w:r>
    </w:p>
    <w:p w:rsidR="009E70B7" w:rsidRPr="00343AC0" w:rsidRDefault="00532715" w:rsidP="00C1497A">
      <w:pPr>
        <w:pStyle w:val="Bezriadkovania"/>
        <w:numPr>
          <w:ilvl w:val="0"/>
          <w:numId w:val="27"/>
        </w:numPr>
        <w:spacing w:line="276" w:lineRule="auto"/>
        <w:jc w:val="both"/>
        <w:rPr>
          <w:i/>
          <w:sz w:val="22"/>
          <w:szCs w:val="22"/>
        </w:rPr>
      </w:pPr>
      <w:r w:rsidRPr="00343AC0">
        <w:rPr>
          <w:i/>
          <w:sz w:val="22"/>
          <w:szCs w:val="22"/>
        </w:rPr>
        <w:t>p</w:t>
      </w:r>
      <w:r w:rsidR="00C1497A" w:rsidRPr="00343AC0">
        <w:rPr>
          <w:i/>
          <w:sz w:val="22"/>
          <w:szCs w:val="22"/>
        </w:rPr>
        <w:t>rípravu n</w:t>
      </w:r>
      <w:r w:rsidR="009E70B7" w:rsidRPr="00343AC0">
        <w:rPr>
          <w:i/>
          <w:sz w:val="22"/>
          <w:szCs w:val="22"/>
        </w:rPr>
        <w:t>a ukončenie dotačného programového obdobia 2013-2020 _ všetky výdavky schopný financovať z vlastného rozpočtu, bežné výdavky v plnom rozsahu z vlastných zdrojov, kapitálové _ hľadať dodatočné zdroje v štrukturálnych zmenách rozpočtu (nie v predaji majetku),</w:t>
      </w:r>
    </w:p>
    <w:p w:rsidR="009E70B7" w:rsidRPr="00343AC0" w:rsidRDefault="00C1497A" w:rsidP="00C1497A">
      <w:pPr>
        <w:pStyle w:val="Odsekzoznamu"/>
        <w:numPr>
          <w:ilvl w:val="0"/>
          <w:numId w:val="27"/>
        </w:numPr>
        <w:spacing w:after="0"/>
        <w:rPr>
          <w:rFonts w:ascii="Times New Roman" w:hAnsi="Times New Roman" w:cs="Times New Roman"/>
          <w:i/>
        </w:rPr>
      </w:pPr>
      <w:r w:rsidRPr="00343AC0">
        <w:rPr>
          <w:rFonts w:ascii="Times New Roman" w:hAnsi="Times New Roman" w:cs="Times New Roman"/>
          <w:i/>
        </w:rPr>
        <w:t xml:space="preserve">využitie údajov akruálneho účtovníctva za účelom hľadania najvyššej hodnoty za peniaze. </w:t>
      </w:r>
    </w:p>
    <w:p w:rsidR="00F50439" w:rsidRPr="00343AC0" w:rsidRDefault="00F50439" w:rsidP="006D0218">
      <w:pPr>
        <w:pStyle w:val="Default"/>
        <w:spacing w:line="276" w:lineRule="auto"/>
        <w:ind w:left="720"/>
        <w:jc w:val="both"/>
        <w:rPr>
          <w:b/>
          <w:i/>
          <w:iCs/>
          <w:smallCaps/>
          <w:sz w:val="22"/>
          <w:szCs w:val="22"/>
        </w:rPr>
      </w:pPr>
    </w:p>
    <w:p w:rsidR="0006556A" w:rsidRPr="00343AC0" w:rsidRDefault="0006556A" w:rsidP="006D0218">
      <w:pPr>
        <w:pStyle w:val="Default"/>
        <w:spacing w:line="276" w:lineRule="auto"/>
        <w:ind w:left="720"/>
        <w:jc w:val="both"/>
        <w:rPr>
          <w:b/>
          <w:iCs/>
          <w:smallCaps/>
          <w:sz w:val="22"/>
          <w:szCs w:val="22"/>
        </w:rPr>
      </w:pPr>
    </w:p>
    <w:p w:rsidR="001936DA" w:rsidRPr="000750E4" w:rsidRDefault="001936DA" w:rsidP="006D0218">
      <w:pPr>
        <w:pStyle w:val="Default"/>
        <w:spacing w:line="276" w:lineRule="auto"/>
        <w:jc w:val="both"/>
        <w:rPr>
          <w:iCs/>
          <w:sz w:val="26"/>
          <w:szCs w:val="26"/>
        </w:rPr>
      </w:pPr>
      <w:r w:rsidRPr="000750E4">
        <w:rPr>
          <w:b/>
          <w:iCs/>
          <w:smallCaps/>
          <w:sz w:val="26"/>
          <w:szCs w:val="26"/>
        </w:rPr>
        <w:t>Záver</w:t>
      </w:r>
      <w:r w:rsidRPr="000750E4">
        <w:rPr>
          <w:iCs/>
          <w:sz w:val="26"/>
          <w:szCs w:val="26"/>
        </w:rPr>
        <w:t xml:space="preserve"> </w:t>
      </w:r>
    </w:p>
    <w:p w:rsidR="00E728DF" w:rsidRPr="000750E4" w:rsidRDefault="00E728DF" w:rsidP="006D0218">
      <w:pPr>
        <w:pStyle w:val="Default"/>
        <w:spacing w:line="276" w:lineRule="auto"/>
        <w:jc w:val="both"/>
        <w:rPr>
          <w:iCs/>
          <w:sz w:val="22"/>
          <w:szCs w:val="22"/>
        </w:rPr>
      </w:pPr>
    </w:p>
    <w:p w:rsidR="00B803D0" w:rsidRPr="000750E4" w:rsidRDefault="00B803D0" w:rsidP="006D0218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b/>
          <w:bCs/>
          <w:sz w:val="22"/>
          <w:szCs w:val="22"/>
        </w:rPr>
        <w:t>Záverečný účet Mesta Stará Ľubovňa za rok 201</w:t>
      </w:r>
      <w:r w:rsidR="0006556A">
        <w:rPr>
          <w:b/>
          <w:bCs/>
          <w:sz w:val="22"/>
          <w:szCs w:val="22"/>
        </w:rPr>
        <w:t>9</w:t>
      </w:r>
      <w:r w:rsidRPr="000750E4">
        <w:rPr>
          <w:b/>
          <w:bCs/>
          <w:sz w:val="22"/>
          <w:szCs w:val="22"/>
        </w:rPr>
        <w:t xml:space="preserve"> </w:t>
      </w:r>
      <w:r w:rsidRPr="000750E4">
        <w:rPr>
          <w:sz w:val="22"/>
          <w:szCs w:val="22"/>
        </w:rPr>
        <w:t xml:space="preserve">je spracovaný v súlade s príslušnými ustanoveniami § 16 zákona </w:t>
      </w:r>
      <w:r w:rsidR="00C5515C" w:rsidRPr="000750E4">
        <w:rPr>
          <w:sz w:val="22"/>
          <w:szCs w:val="22"/>
        </w:rPr>
        <w:t xml:space="preserve">č. 583/2004 Z.z. </w:t>
      </w:r>
      <w:r w:rsidRPr="000750E4">
        <w:rPr>
          <w:sz w:val="22"/>
          <w:szCs w:val="22"/>
        </w:rPr>
        <w:t xml:space="preserve">a </w:t>
      </w:r>
      <w:r w:rsidRPr="000750E4">
        <w:rPr>
          <w:b/>
          <w:bCs/>
          <w:sz w:val="22"/>
          <w:szCs w:val="22"/>
        </w:rPr>
        <w:t xml:space="preserve">obsahuje všetky povinné náležitosti podľa § 16 ods. 5 zákona o rozpočtových pravidlách územnej samosprávy. </w:t>
      </w:r>
    </w:p>
    <w:p w:rsidR="00B803D0" w:rsidRPr="000750E4" w:rsidRDefault="00B803D0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B803D0" w:rsidRPr="000750E4" w:rsidRDefault="00C5515C" w:rsidP="006D0218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b/>
          <w:bCs/>
          <w:sz w:val="22"/>
          <w:szCs w:val="22"/>
        </w:rPr>
        <w:t xml:space="preserve">Návrh </w:t>
      </w:r>
      <w:r w:rsidR="00B803D0" w:rsidRPr="000750E4">
        <w:rPr>
          <w:b/>
          <w:bCs/>
          <w:sz w:val="22"/>
          <w:szCs w:val="22"/>
        </w:rPr>
        <w:t>Záverečn</w:t>
      </w:r>
      <w:r w:rsidRPr="000750E4">
        <w:rPr>
          <w:b/>
          <w:bCs/>
          <w:sz w:val="22"/>
          <w:szCs w:val="22"/>
        </w:rPr>
        <w:t>ého úč</w:t>
      </w:r>
      <w:r w:rsidR="00B803D0" w:rsidRPr="000750E4">
        <w:rPr>
          <w:b/>
          <w:bCs/>
          <w:sz w:val="22"/>
          <w:szCs w:val="22"/>
        </w:rPr>
        <w:t>t</w:t>
      </w:r>
      <w:r w:rsidRPr="000750E4">
        <w:rPr>
          <w:b/>
          <w:bCs/>
          <w:sz w:val="22"/>
          <w:szCs w:val="22"/>
        </w:rPr>
        <w:t>u</w:t>
      </w:r>
      <w:r w:rsidR="00B803D0" w:rsidRPr="000750E4">
        <w:rPr>
          <w:b/>
          <w:bCs/>
          <w:sz w:val="22"/>
          <w:szCs w:val="22"/>
        </w:rPr>
        <w:t xml:space="preserve"> Mesta Stará Ľubovňa za rok 201</w:t>
      </w:r>
      <w:r w:rsidR="0006556A">
        <w:rPr>
          <w:b/>
          <w:bCs/>
          <w:sz w:val="22"/>
          <w:szCs w:val="22"/>
        </w:rPr>
        <w:t>9</w:t>
      </w:r>
      <w:r w:rsidR="00B803D0" w:rsidRPr="000750E4">
        <w:rPr>
          <w:b/>
          <w:bCs/>
          <w:sz w:val="22"/>
          <w:szCs w:val="22"/>
        </w:rPr>
        <w:t xml:space="preserve"> </w:t>
      </w:r>
      <w:r w:rsidR="00B803D0" w:rsidRPr="000750E4">
        <w:rPr>
          <w:sz w:val="22"/>
          <w:szCs w:val="22"/>
        </w:rPr>
        <w:t xml:space="preserve">bol podľa § 9 ods. 2 zákona o obecnom zriadení a § 16 ods. 9 </w:t>
      </w:r>
      <w:r w:rsidRPr="000750E4">
        <w:rPr>
          <w:sz w:val="22"/>
          <w:szCs w:val="22"/>
        </w:rPr>
        <w:t xml:space="preserve">č. 583/2004 Z.z. </w:t>
      </w:r>
      <w:r w:rsidR="00B803D0" w:rsidRPr="000750E4">
        <w:rPr>
          <w:b/>
          <w:bCs/>
          <w:sz w:val="22"/>
          <w:szCs w:val="22"/>
        </w:rPr>
        <w:t xml:space="preserve">predložený na verejnú diskusiu dňa </w:t>
      </w:r>
      <w:r w:rsidRPr="000750E4">
        <w:rPr>
          <w:b/>
          <w:bCs/>
          <w:sz w:val="22"/>
          <w:szCs w:val="22"/>
        </w:rPr>
        <w:t>1</w:t>
      </w:r>
      <w:r w:rsidR="0006556A">
        <w:rPr>
          <w:b/>
          <w:bCs/>
          <w:sz w:val="22"/>
          <w:szCs w:val="22"/>
        </w:rPr>
        <w:t>6</w:t>
      </w:r>
      <w:r w:rsidR="00B803D0" w:rsidRPr="000750E4">
        <w:rPr>
          <w:b/>
          <w:bCs/>
          <w:sz w:val="22"/>
          <w:szCs w:val="22"/>
        </w:rPr>
        <w:t xml:space="preserve">. </w:t>
      </w:r>
      <w:r w:rsidR="00AE3778" w:rsidRPr="000750E4">
        <w:rPr>
          <w:b/>
          <w:bCs/>
          <w:sz w:val="22"/>
          <w:szCs w:val="22"/>
        </w:rPr>
        <w:t xml:space="preserve">marca </w:t>
      </w:r>
      <w:r w:rsidR="00B803D0" w:rsidRPr="000750E4">
        <w:rPr>
          <w:b/>
          <w:bCs/>
          <w:sz w:val="22"/>
          <w:szCs w:val="22"/>
        </w:rPr>
        <w:t>20</w:t>
      </w:r>
      <w:r w:rsidR="0006556A">
        <w:rPr>
          <w:b/>
          <w:bCs/>
          <w:sz w:val="22"/>
          <w:szCs w:val="22"/>
        </w:rPr>
        <w:t>20</w:t>
      </w:r>
      <w:r w:rsidR="00B803D0" w:rsidRPr="000750E4">
        <w:rPr>
          <w:b/>
          <w:bCs/>
          <w:sz w:val="22"/>
          <w:szCs w:val="22"/>
        </w:rPr>
        <w:t xml:space="preserve"> teda v zákonom stanovenej lehote </w:t>
      </w:r>
      <w:r w:rsidR="00B803D0" w:rsidRPr="000750E4">
        <w:rPr>
          <w:sz w:val="22"/>
          <w:szCs w:val="22"/>
        </w:rPr>
        <w:t xml:space="preserve">spôsobom v meste obvyklým. </w:t>
      </w:r>
    </w:p>
    <w:p w:rsidR="00B803D0" w:rsidRPr="000750E4" w:rsidRDefault="00B803D0" w:rsidP="006D021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B803D0" w:rsidRPr="000750E4" w:rsidRDefault="00B803D0" w:rsidP="006D0218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0750E4">
        <w:rPr>
          <w:b/>
          <w:bCs/>
          <w:sz w:val="22"/>
          <w:szCs w:val="22"/>
        </w:rPr>
        <w:t>Riadna účtovná závierka k 31.12.201</w:t>
      </w:r>
      <w:r w:rsidR="0006556A">
        <w:rPr>
          <w:b/>
          <w:bCs/>
          <w:sz w:val="22"/>
          <w:szCs w:val="22"/>
        </w:rPr>
        <w:t>9</w:t>
      </w:r>
      <w:r w:rsidRPr="000750E4">
        <w:rPr>
          <w:b/>
          <w:bCs/>
          <w:sz w:val="22"/>
          <w:szCs w:val="22"/>
        </w:rPr>
        <w:t xml:space="preserve"> a hospodárenie Mesta Stará Ľubovňa za rok 201</w:t>
      </w:r>
      <w:r w:rsidR="0006556A">
        <w:rPr>
          <w:b/>
          <w:bCs/>
          <w:sz w:val="22"/>
          <w:szCs w:val="22"/>
        </w:rPr>
        <w:t>9</w:t>
      </w:r>
      <w:r w:rsidRPr="000750E4">
        <w:rPr>
          <w:b/>
          <w:bCs/>
          <w:sz w:val="22"/>
          <w:szCs w:val="22"/>
        </w:rPr>
        <w:t xml:space="preserve"> boli overené audítorom </w:t>
      </w:r>
      <w:r w:rsidR="00C5515C" w:rsidRPr="000750E4">
        <w:rPr>
          <w:sz w:val="22"/>
          <w:szCs w:val="22"/>
        </w:rPr>
        <w:t xml:space="preserve">tak, ako to ukladajú </w:t>
      </w:r>
      <w:proofErr w:type="spellStart"/>
      <w:r w:rsidR="00C5515C" w:rsidRPr="000750E4">
        <w:rPr>
          <w:sz w:val="22"/>
          <w:szCs w:val="22"/>
        </w:rPr>
        <w:t>ust</w:t>
      </w:r>
      <w:proofErr w:type="spellEnd"/>
      <w:r w:rsidR="00C5515C" w:rsidRPr="000750E4">
        <w:rPr>
          <w:sz w:val="22"/>
          <w:szCs w:val="22"/>
        </w:rPr>
        <w:t xml:space="preserve">. </w:t>
      </w:r>
      <w:r w:rsidRPr="000750E4">
        <w:rPr>
          <w:sz w:val="22"/>
          <w:szCs w:val="22"/>
        </w:rPr>
        <w:t xml:space="preserve">§ 9 ods. 4 zákona </w:t>
      </w:r>
      <w:r w:rsidR="00C5515C" w:rsidRPr="000750E4">
        <w:rPr>
          <w:sz w:val="22"/>
          <w:szCs w:val="22"/>
        </w:rPr>
        <w:t xml:space="preserve">č. 369/1990 o </w:t>
      </w:r>
      <w:r w:rsidRPr="000750E4">
        <w:rPr>
          <w:sz w:val="22"/>
          <w:szCs w:val="22"/>
        </w:rPr>
        <w:t>obecnom zriadení a</w:t>
      </w:r>
      <w:r w:rsidR="00C5515C" w:rsidRPr="000750E4">
        <w:rPr>
          <w:sz w:val="22"/>
          <w:szCs w:val="22"/>
        </w:rPr>
        <w:t> </w:t>
      </w:r>
      <w:proofErr w:type="spellStart"/>
      <w:r w:rsidR="00C5515C" w:rsidRPr="000750E4">
        <w:rPr>
          <w:sz w:val="22"/>
          <w:szCs w:val="22"/>
        </w:rPr>
        <w:t>ust</w:t>
      </w:r>
      <w:proofErr w:type="spellEnd"/>
      <w:r w:rsidR="00C5515C" w:rsidRPr="000750E4">
        <w:rPr>
          <w:sz w:val="22"/>
          <w:szCs w:val="22"/>
        </w:rPr>
        <w:t xml:space="preserve">. </w:t>
      </w:r>
      <w:r w:rsidRPr="000750E4">
        <w:rPr>
          <w:sz w:val="22"/>
          <w:szCs w:val="22"/>
        </w:rPr>
        <w:t xml:space="preserve">§ 16 ods. 3 </w:t>
      </w:r>
      <w:r w:rsidR="00C5515C" w:rsidRPr="000750E4">
        <w:rPr>
          <w:sz w:val="22"/>
          <w:szCs w:val="22"/>
        </w:rPr>
        <w:t>zákona č. č. 583/2004 Z.z</w:t>
      </w:r>
      <w:r w:rsidRPr="000750E4">
        <w:rPr>
          <w:sz w:val="22"/>
          <w:szCs w:val="22"/>
        </w:rPr>
        <w:t xml:space="preserve">. </w:t>
      </w:r>
      <w:r w:rsidR="009E1944" w:rsidRPr="000750E4">
        <w:rPr>
          <w:sz w:val="22"/>
          <w:szCs w:val="22"/>
        </w:rPr>
        <w:t xml:space="preserve">v znení neskorších predpisov. </w:t>
      </w:r>
    </w:p>
    <w:p w:rsidR="00B803D0" w:rsidRPr="000750E4" w:rsidRDefault="00B803D0" w:rsidP="006D021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E728DF" w:rsidRPr="000750E4" w:rsidRDefault="00B803D0" w:rsidP="006D0218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0750E4">
        <w:rPr>
          <w:rFonts w:ascii="Times New Roman" w:hAnsi="Times New Roman" w:cs="Times New Roman"/>
          <w:b/>
          <w:bCs/>
        </w:rPr>
        <w:t>Súhlasím</w:t>
      </w:r>
      <w:r w:rsidR="005B2FFC" w:rsidRPr="000750E4">
        <w:rPr>
          <w:rFonts w:ascii="Times New Roman" w:hAnsi="Times New Roman" w:cs="Times New Roman"/>
          <w:b/>
          <w:bCs/>
        </w:rPr>
        <w:t xml:space="preserve">, </w:t>
      </w:r>
      <w:r w:rsidRPr="000750E4">
        <w:rPr>
          <w:rFonts w:ascii="Times New Roman" w:hAnsi="Times New Roman" w:cs="Times New Roman"/>
          <w:b/>
          <w:bCs/>
        </w:rPr>
        <w:t xml:space="preserve">aby sa prerokovanie </w:t>
      </w:r>
      <w:r w:rsidR="005B2FFC" w:rsidRPr="000750E4">
        <w:rPr>
          <w:rFonts w:ascii="Times New Roman" w:hAnsi="Times New Roman" w:cs="Times New Roman"/>
          <w:b/>
          <w:bCs/>
        </w:rPr>
        <w:t xml:space="preserve">dokumentu </w:t>
      </w:r>
      <w:r w:rsidR="00343AC0">
        <w:rPr>
          <w:rFonts w:ascii="Times New Roman" w:hAnsi="Times New Roman" w:cs="Times New Roman"/>
          <w:b/>
          <w:bCs/>
        </w:rPr>
        <w:t>„</w:t>
      </w:r>
      <w:r w:rsidR="005B2FFC" w:rsidRPr="000750E4">
        <w:rPr>
          <w:rFonts w:ascii="Times New Roman" w:hAnsi="Times New Roman" w:cs="Times New Roman"/>
          <w:b/>
          <w:bCs/>
        </w:rPr>
        <w:t>Záverečný účet a výročná správa za rok 201</w:t>
      </w:r>
      <w:r w:rsidR="0006556A">
        <w:rPr>
          <w:rFonts w:ascii="Times New Roman" w:hAnsi="Times New Roman" w:cs="Times New Roman"/>
          <w:b/>
          <w:bCs/>
        </w:rPr>
        <w:t>9</w:t>
      </w:r>
      <w:r w:rsidR="00343AC0">
        <w:rPr>
          <w:rFonts w:ascii="Times New Roman" w:hAnsi="Times New Roman" w:cs="Times New Roman"/>
          <w:b/>
          <w:bCs/>
        </w:rPr>
        <w:t>“</w:t>
      </w:r>
      <w:r w:rsidR="005B2FFC" w:rsidRPr="000750E4">
        <w:rPr>
          <w:rFonts w:ascii="Times New Roman" w:hAnsi="Times New Roman" w:cs="Times New Roman"/>
          <w:b/>
          <w:bCs/>
        </w:rPr>
        <w:t xml:space="preserve"> </w:t>
      </w:r>
      <w:r w:rsidRPr="000750E4">
        <w:rPr>
          <w:rFonts w:ascii="Times New Roman" w:hAnsi="Times New Roman" w:cs="Times New Roman"/>
          <w:b/>
          <w:bCs/>
        </w:rPr>
        <w:t xml:space="preserve">uzatvorilo podľa </w:t>
      </w:r>
      <w:proofErr w:type="spellStart"/>
      <w:r w:rsidR="00DD26F9">
        <w:rPr>
          <w:rFonts w:ascii="Times New Roman" w:hAnsi="Times New Roman" w:cs="Times New Roman"/>
          <w:b/>
          <w:bCs/>
        </w:rPr>
        <w:t>ust</w:t>
      </w:r>
      <w:proofErr w:type="spellEnd"/>
      <w:r w:rsidR="00DD26F9">
        <w:rPr>
          <w:rFonts w:ascii="Times New Roman" w:hAnsi="Times New Roman" w:cs="Times New Roman"/>
          <w:b/>
          <w:bCs/>
        </w:rPr>
        <w:t xml:space="preserve">. </w:t>
      </w:r>
      <w:r w:rsidRPr="000750E4">
        <w:rPr>
          <w:rFonts w:ascii="Times New Roman" w:hAnsi="Times New Roman" w:cs="Times New Roman"/>
          <w:b/>
          <w:bCs/>
        </w:rPr>
        <w:t>§ 16 ods. 10 písm. a)</w:t>
      </w:r>
      <w:r w:rsidR="00C5515C" w:rsidRPr="000750E4">
        <w:rPr>
          <w:rFonts w:ascii="Times New Roman" w:hAnsi="Times New Roman" w:cs="Times New Roman"/>
          <w:b/>
          <w:bCs/>
        </w:rPr>
        <w:t xml:space="preserve"> zákona </w:t>
      </w:r>
      <w:r w:rsidR="00C5515C" w:rsidRPr="000750E4">
        <w:rPr>
          <w:rFonts w:ascii="Times New Roman" w:hAnsi="Times New Roman" w:cs="Times New Roman"/>
          <w:b/>
        </w:rPr>
        <w:t xml:space="preserve">č. 583/2004 Z.z. </w:t>
      </w:r>
      <w:r w:rsidRPr="000750E4">
        <w:rPr>
          <w:rFonts w:ascii="Times New Roman" w:hAnsi="Times New Roman" w:cs="Times New Roman"/>
          <w:b/>
          <w:bCs/>
        </w:rPr>
        <w:t xml:space="preserve">územnej samosprávy </w:t>
      </w:r>
      <w:r w:rsidR="00622793" w:rsidRPr="000750E4">
        <w:rPr>
          <w:rFonts w:ascii="Times New Roman" w:hAnsi="Times New Roman" w:cs="Times New Roman"/>
          <w:b/>
          <w:bCs/>
        </w:rPr>
        <w:t>s výrokom „</w:t>
      </w:r>
      <w:r w:rsidRPr="000750E4">
        <w:rPr>
          <w:rFonts w:ascii="Times New Roman" w:hAnsi="Times New Roman" w:cs="Times New Roman"/>
          <w:b/>
          <w:bCs/>
        </w:rPr>
        <w:t>celoročné hospo</w:t>
      </w:r>
      <w:r w:rsidR="00622793" w:rsidRPr="000750E4">
        <w:rPr>
          <w:rFonts w:ascii="Times New Roman" w:hAnsi="Times New Roman" w:cs="Times New Roman"/>
          <w:b/>
          <w:bCs/>
        </w:rPr>
        <w:t xml:space="preserve">dárenie sa schvaľuje bez výhrad“. </w:t>
      </w:r>
    </w:p>
    <w:p w:rsidR="005D1209" w:rsidRPr="000750E4" w:rsidRDefault="005D1209" w:rsidP="006D0218">
      <w:pPr>
        <w:spacing w:after="0"/>
        <w:jc w:val="both"/>
      </w:pPr>
    </w:p>
    <w:p w:rsidR="00D90176" w:rsidRPr="000750E4" w:rsidRDefault="00E728DF" w:rsidP="006D0218">
      <w:pPr>
        <w:spacing w:after="0"/>
        <w:jc w:val="both"/>
        <w:rPr>
          <w:rFonts w:ascii="Times New Roman" w:hAnsi="Times New Roman" w:cs="Times New Roman"/>
          <w:b/>
        </w:rPr>
      </w:pPr>
      <w:r w:rsidRPr="000750E4">
        <w:rPr>
          <w:rFonts w:ascii="Times New Roman" w:hAnsi="Times New Roman" w:cs="Times New Roman"/>
        </w:rPr>
        <w:t xml:space="preserve">V Starej Ľubovni, dňa </w:t>
      </w:r>
      <w:r w:rsidR="0095087A">
        <w:rPr>
          <w:rFonts w:ascii="Times New Roman" w:hAnsi="Times New Roman" w:cs="Times New Roman"/>
        </w:rPr>
        <w:t>22</w:t>
      </w:r>
      <w:bookmarkStart w:id="0" w:name="_GoBack"/>
      <w:bookmarkEnd w:id="0"/>
      <w:r w:rsidR="009E1944" w:rsidRPr="000750E4">
        <w:rPr>
          <w:rFonts w:ascii="Times New Roman" w:hAnsi="Times New Roman" w:cs="Times New Roman"/>
        </w:rPr>
        <w:t>.4</w:t>
      </w:r>
      <w:r w:rsidR="00FE586F">
        <w:rPr>
          <w:rFonts w:ascii="Times New Roman" w:hAnsi="Times New Roman" w:cs="Times New Roman"/>
        </w:rPr>
        <w:t>.20</w:t>
      </w:r>
      <w:r w:rsidR="0006556A">
        <w:rPr>
          <w:rFonts w:ascii="Times New Roman" w:hAnsi="Times New Roman" w:cs="Times New Roman"/>
        </w:rPr>
        <w:t>20</w:t>
      </w:r>
      <w:r w:rsidR="00317A2D" w:rsidRPr="000750E4">
        <w:rPr>
          <w:rFonts w:ascii="Times New Roman" w:hAnsi="Times New Roman" w:cs="Times New Roman"/>
        </w:rPr>
        <w:t xml:space="preserve"> </w:t>
      </w:r>
      <w:r w:rsidRPr="000750E4">
        <w:rPr>
          <w:rFonts w:ascii="Times New Roman" w:hAnsi="Times New Roman" w:cs="Times New Roman"/>
        </w:rPr>
        <w:tab/>
      </w:r>
      <w:r w:rsidR="00D90176" w:rsidRPr="000750E4">
        <w:rPr>
          <w:rFonts w:ascii="Times New Roman" w:hAnsi="Times New Roman" w:cs="Times New Roman"/>
        </w:rPr>
        <w:tab/>
      </w:r>
      <w:r w:rsidR="00D90176" w:rsidRPr="000750E4">
        <w:rPr>
          <w:rFonts w:ascii="Times New Roman" w:hAnsi="Times New Roman" w:cs="Times New Roman"/>
        </w:rPr>
        <w:tab/>
        <w:t xml:space="preserve"> </w:t>
      </w:r>
      <w:r w:rsidR="00D90176" w:rsidRPr="000750E4">
        <w:rPr>
          <w:rFonts w:ascii="Times New Roman" w:hAnsi="Times New Roman" w:cs="Times New Roman"/>
        </w:rPr>
        <w:tab/>
      </w:r>
      <w:r w:rsidR="00D90176" w:rsidRPr="000750E4">
        <w:rPr>
          <w:rFonts w:ascii="Times New Roman" w:hAnsi="Times New Roman" w:cs="Times New Roman"/>
        </w:rPr>
        <w:tab/>
      </w:r>
      <w:r w:rsidR="00D90176" w:rsidRPr="000750E4">
        <w:rPr>
          <w:rFonts w:ascii="Times New Roman" w:hAnsi="Times New Roman" w:cs="Times New Roman"/>
          <w:b/>
        </w:rPr>
        <w:t xml:space="preserve">Ing. Ján  Š i d l o v s k ý </w:t>
      </w:r>
      <w:r w:rsidR="0086143C" w:rsidRPr="000750E4">
        <w:rPr>
          <w:rFonts w:ascii="Times New Roman" w:hAnsi="Times New Roman" w:cs="Times New Roman"/>
          <w:b/>
        </w:rPr>
        <w:t xml:space="preserve"> </w:t>
      </w:r>
    </w:p>
    <w:p w:rsidR="00EE40EE" w:rsidRPr="000750E4" w:rsidRDefault="00D90176" w:rsidP="006D0218">
      <w:pPr>
        <w:spacing w:after="0"/>
        <w:jc w:val="both"/>
        <w:rPr>
          <w:rFonts w:ascii="Times New Roman" w:hAnsi="Times New Roman" w:cs="Times New Roman"/>
        </w:rPr>
      </w:pP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</w:r>
      <w:r w:rsidRPr="000750E4">
        <w:rPr>
          <w:rFonts w:ascii="Times New Roman" w:hAnsi="Times New Roman" w:cs="Times New Roman"/>
        </w:rPr>
        <w:tab/>
        <w:t xml:space="preserve">        </w:t>
      </w:r>
      <w:r w:rsidRPr="000750E4">
        <w:rPr>
          <w:rFonts w:ascii="Times New Roman" w:hAnsi="Times New Roman" w:cs="Times New Roman"/>
        </w:rPr>
        <w:tab/>
        <w:t xml:space="preserve">      hlavný kontrolór </w:t>
      </w:r>
      <w:r w:rsidR="00E728DF" w:rsidRPr="000750E4">
        <w:rPr>
          <w:rFonts w:ascii="Times New Roman" w:hAnsi="Times New Roman" w:cs="Times New Roman"/>
        </w:rPr>
        <w:tab/>
        <w:t xml:space="preserve">        </w:t>
      </w:r>
    </w:p>
    <w:p w:rsidR="00E728DF" w:rsidRPr="000750E4" w:rsidRDefault="00E728DF" w:rsidP="006D0218">
      <w:pPr>
        <w:spacing w:after="0"/>
        <w:jc w:val="both"/>
        <w:rPr>
          <w:rFonts w:ascii="Times New Roman" w:hAnsi="Times New Roman" w:cs="Times New Roman"/>
        </w:rPr>
      </w:pPr>
    </w:p>
    <w:p w:rsidR="00E728DF" w:rsidRDefault="00E728DF" w:rsidP="0050438F">
      <w:pPr>
        <w:pStyle w:val="Default"/>
        <w:jc w:val="both"/>
        <w:rPr>
          <w:iCs/>
        </w:rPr>
      </w:pPr>
    </w:p>
    <w:sectPr w:rsidR="00E728DF" w:rsidSect="00095FF6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4F5" w:rsidRDefault="002874F5" w:rsidP="00DF6BEB">
      <w:pPr>
        <w:spacing w:after="0" w:line="240" w:lineRule="auto"/>
      </w:pPr>
      <w:r>
        <w:separator/>
      </w:r>
    </w:p>
  </w:endnote>
  <w:endnote w:type="continuationSeparator" w:id="0">
    <w:p w:rsidR="002874F5" w:rsidRDefault="002874F5" w:rsidP="00DF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38036882"/>
      <w:docPartObj>
        <w:docPartGallery w:val="Page Numbers (Bottom of Page)"/>
        <w:docPartUnique/>
      </w:docPartObj>
    </w:sdtPr>
    <w:sdtContent>
      <w:p w:rsidR="00C51590" w:rsidRPr="00FC336C" w:rsidRDefault="00C51590" w:rsidP="00A7369B">
        <w:pPr>
          <w:pStyle w:val="Pta"/>
          <w:ind w:left="72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C336C">
          <w:rPr>
            <w:rFonts w:ascii="Times New Roman" w:hAnsi="Times New Roman" w:cs="Times New Roman"/>
            <w:sz w:val="20"/>
            <w:szCs w:val="20"/>
          </w:rPr>
          <w:ptab w:relativeTo="margin" w:alignment="center" w:leader="none"/>
        </w:r>
        <w:r w:rsidRPr="00FC336C">
          <w:rPr>
            <w:rFonts w:ascii="Times New Roman" w:hAnsi="Times New Roman" w:cs="Times New Roman"/>
            <w:sz w:val="20"/>
            <w:szCs w:val="20"/>
          </w:rPr>
          <w:t xml:space="preserve">- </w:t>
        </w:r>
        <w:r w:rsidRPr="00FC33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C33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C33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087A">
          <w:rPr>
            <w:rFonts w:ascii="Times New Roman" w:hAnsi="Times New Roman" w:cs="Times New Roman"/>
            <w:noProof/>
            <w:sz w:val="20"/>
            <w:szCs w:val="20"/>
          </w:rPr>
          <w:t>22</w:t>
        </w:r>
        <w:r w:rsidRPr="00FC336C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FC336C">
          <w:rPr>
            <w:rFonts w:ascii="Times New Roman" w:hAnsi="Times New Roman" w:cs="Times New Roman"/>
            <w:sz w:val="20"/>
            <w:szCs w:val="20"/>
          </w:rPr>
          <w:t xml:space="preserve"> -</w:t>
        </w:r>
      </w:p>
    </w:sdtContent>
  </w:sdt>
  <w:p w:rsidR="00C51590" w:rsidRDefault="00C5159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4F5" w:rsidRDefault="002874F5" w:rsidP="00DF6BEB">
      <w:pPr>
        <w:spacing w:after="0" w:line="240" w:lineRule="auto"/>
      </w:pPr>
      <w:r>
        <w:separator/>
      </w:r>
    </w:p>
  </w:footnote>
  <w:footnote w:type="continuationSeparator" w:id="0">
    <w:p w:rsidR="002874F5" w:rsidRDefault="002874F5" w:rsidP="00DF6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11F"/>
    <w:multiLevelType w:val="hybridMultilevel"/>
    <w:tmpl w:val="19E270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E6294"/>
    <w:multiLevelType w:val="hybridMultilevel"/>
    <w:tmpl w:val="27F671FE"/>
    <w:lvl w:ilvl="0" w:tplc="72209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2070A"/>
    <w:multiLevelType w:val="hybridMultilevel"/>
    <w:tmpl w:val="6F50D096"/>
    <w:lvl w:ilvl="0" w:tplc="4454A9B6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0874A53"/>
    <w:multiLevelType w:val="hybridMultilevel"/>
    <w:tmpl w:val="31923A54"/>
    <w:lvl w:ilvl="0" w:tplc="72209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21F55"/>
    <w:multiLevelType w:val="hybridMultilevel"/>
    <w:tmpl w:val="928685FC"/>
    <w:lvl w:ilvl="0" w:tplc="1930B312">
      <w:start w:val="1"/>
      <w:numFmt w:val="decimal"/>
      <w:lvlText w:val="%1."/>
      <w:lvlJc w:val="left"/>
      <w:pPr>
        <w:ind w:left="501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14732"/>
    <w:multiLevelType w:val="hybridMultilevel"/>
    <w:tmpl w:val="5622B34A"/>
    <w:lvl w:ilvl="0" w:tplc="2006F8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97BA4"/>
    <w:multiLevelType w:val="hybridMultilevel"/>
    <w:tmpl w:val="0106B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E6A4F"/>
    <w:multiLevelType w:val="hybridMultilevel"/>
    <w:tmpl w:val="94A632F0"/>
    <w:lvl w:ilvl="0" w:tplc="9682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A6014"/>
    <w:multiLevelType w:val="hybridMultilevel"/>
    <w:tmpl w:val="EABA99F2"/>
    <w:lvl w:ilvl="0" w:tplc="6B82BEF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55F49"/>
    <w:multiLevelType w:val="hybridMultilevel"/>
    <w:tmpl w:val="0178C68E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7D6674"/>
    <w:multiLevelType w:val="hybridMultilevel"/>
    <w:tmpl w:val="0152F606"/>
    <w:lvl w:ilvl="0" w:tplc="86C6DC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F357D"/>
    <w:multiLevelType w:val="multilevel"/>
    <w:tmpl w:val="040A56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20A6C90"/>
    <w:multiLevelType w:val="multilevel"/>
    <w:tmpl w:val="54B2BA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4851EF0"/>
    <w:multiLevelType w:val="hybridMultilevel"/>
    <w:tmpl w:val="0BFE6368"/>
    <w:lvl w:ilvl="0" w:tplc="7D06DDF8">
      <w:start w:val="108"/>
      <w:numFmt w:val="bullet"/>
      <w:lvlText w:val=""/>
      <w:lvlJc w:val="left"/>
      <w:pPr>
        <w:ind w:left="1069" w:hanging="360"/>
      </w:pPr>
      <w:rPr>
        <w:rFonts w:ascii="Wingdings" w:eastAsiaTheme="minorHAnsi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7462E67"/>
    <w:multiLevelType w:val="hybridMultilevel"/>
    <w:tmpl w:val="E5569A7A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333A8D"/>
    <w:multiLevelType w:val="hybridMultilevel"/>
    <w:tmpl w:val="698CBEE8"/>
    <w:lvl w:ilvl="0" w:tplc="4ED83B5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85CB6"/>
    <w:multiLevelType w:val="multilevel"/>
    <w:tmpl w:val="69987E6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651E00"/>
    <w:multiLevelType w:val="hybridMultilevel"/>
    <w:tmpl w:val="22C07AF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CF7402"/>
    <w:multiLevelType w:val="hybridMultilevel"/>
    <w:tmpl w:val="2C3C7CD8"/>
    <w:lvl w:ilvl="0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A03C19"/>
    <w:multiLevelType w:val="hybridMultilevel"/>
    <w:tmpl w:val="A468B33E"/>
    <w:lvl w:ilvl="0" w:tplc="041B000F">
      <w:start w:val="1"/>
      <w:numFmt w:val="decimal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613F18"/>
    <w:multiLevelType w:val="hybridMultilevel"/>
    <w:tmpl w:val="A84CD80A"/>
    <w:lvl w:ilvl="0" w:tplc="88A0D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C3F77"/>
    <w:multiLevelType w:val="hybridMultilevel"/>
    <w:tmpl w:val="E92AB010"/>
    <w:lvl w:ilvl="0" w:tplc="3AC63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0E05ADD"/>
    <w:multiLevelType w:val="hybridMultilevel"/>
    <w:tmpl w:val="A0EE3F7A"/>
    <w:lvl w:ilvl="0" w:tplc="DFECE9E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47A17B1"/>
    <w:multiLevelType w:val="hybridMultilevel"/>
    <w:tmpl w:val="928685FC"/>
    <w:lvl w:ilvl="0" w:tplc="1930B312">
      <w:start w:val="1"/>
      <w:numFmt w:val="decimal"/>
      <w:lvlText w:val="%1."/>
      <w:lvlJc w:val="left"/>
      <w:pPr>
        <w:ind w:left="501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790543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C0F6817"/>
    <w:multiLevelType w:val="hybridMultilevel"/>
    <w:tmpl w:val="0F6046CE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FCD7EA1"/>
    <w:multiLevelType w:val="multilevel"/>
    <w:tmpl w:val="389C1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FC3A7B"/>
    <w:multiLevelType w:val="hybridMultilevel"/>
    <w:tmpl w:val="842CF196"/>
    <w:lvl w:ilvl="0" w:tplc="041B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F343E"/>
    <w:multiLevelType w:val="hybridMultilevel"/>
    <w:tmpl w:val="B2E0AF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8C17F4"/>
    <w:multiLevelType w:val="hybridMultilevel"/>
    <w:tmpl w:val="59BC093A"/>
    <w:lvl w:ilvl="0" w:tplc="4D74D8A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ED2E90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91B57D5"/>
    <w:multiLevelType w:val="hybridMultilevel"/>
    <w:tmpl w:val="7BEEBF5E"/>
    <w:lvl w:ilvl="0" w:tplc="041B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0" w15:restartNumberingAfterBreak="0">
    <w:nsid w:val="7AB53DC9"/>
    <w:multiLevelType w:val="multilevel"/>
    <w:tmpl w:val="69987E6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F51FF0"/>
    <w:multiLevelType w:val="hybridMultilevel"/>
    <w:tmpl w:val="C8060ED6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0"/>
  </w:num>
  <w:num w:numId="4">
    <w:abstractNumId w:val="22"/>
  </w:num>
  <w:num w:numId="5">
    <w:abstractNumId w:val="2"/>
  </w:num>
  <w:num w:numId="6">
    <w:abstractNumId w:val="26"/>
  </w:num>
  <w:num w:numId="7">
    <w:abstractNumId w:val="3"/>
  </w:num>
  <w:num w:numId="8">
    <w:abstractNumId w:val="15"/>
  </w:num>
  <w:num w:numId="9">
    <w:abstractNumId w:val="10"/>
  </w:num>
  <w:num w:numId="10">
    <w:abstractNumId w:val="16"/>
  </w:num>
  <w:num w:numId="11">
    <w:abstractNumId w:val="34"/>
  </w:num>
  <w:num w:numId="12">
    <w:abstractNumId w:val="9"/>
  </w:num>
  <w:num w:numId="13">
    <w:abstractNumId w:val="17"/>
  </w:num>
  <w:num w:numId="14">
    <w:abstractNumId w:val="33"/>
  </w:num>
  <w:num w:numId="15">
    <w:abstractNumId w:val="13"/>
  </w:num>
  <w:num w:numId="16">
    <w:abstractNumId w:val="37"/>
  </w:num>
  <w:num w:numId="17">
    <w:abstractNumId w:val="8"/>
  </w:num>
  <w:num w:numId="18">
    <w:abstractNumId w:val="28"/>
  </w:num>
  <w:num w:numId="19">
    <w:abstractNumId w:val="24"/>
  </w:num>
  <w:num w:numId="20">
    <w:abstractNumId w:val="41"/>
  </w:num>
  <w:num w:numId="21">
    <w:abstractNumId w:val="35"/>
  </w:num>
  <w:num w:numId="22">
    <w:abstractNumId w:val="27"/>
  </w:num>
  <w:num w:numId="23">
    <w:abstractNumId w:val="19"/>
  </w:num>
  <w:num w:numId="24">
    <w:abstractNumId w:val="32"/>
  </w:num>
  <w:num w:numId="25">
    <w:abstractNumId w:val="38"/>
  </w:num>
  <w:num w:numId="26">
    <w:abstractNumId w:val="40"/>
  </w:num>
  <w:num w:numId="27">
    <w:abstractNumId w:val="6"/>
  </w:num>
  <w:num w:numId="28">
    <w:abstractNumId w:val="25"/>
  </w:num>
  <w:num w:numId="29">
    <w:abstractNumId w:val="36"/>
  </w:num>
  <w:num w:numId="30">
    <w:abstractNumId w:val="4"/>
  </w:num>
  <w:num w:numId="31">
    <w:abstractNumId w:val="7"/>
  </w:num>
  <w:num w:numId="32">
    <w:abstractNumId w:val="31"/>
  </w:num>
  <w:num w:numId="33">
    <w:abstractNumId w:val="2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5"/>
  </w:num>
  <w:num w:numId="37">
    <w:abstractNumId w:val="23"/>
  </w:num>
  <w:num w:numId="38">
    <w:abstractNumId w:val="12"/>
  </w:num>
  <w:num w:numId="39">
    <w:abstractNumId w:val="1"/>
  </w:num>
  <w:num w:numId="40">
    <w:abstractNumId w:val="39"/>
  </w:num>
  <w:num w:numId="41">
    <w:abstractNumId w:val="18"/>
  </w:num>
  <w:num w:numId="42">
    <w:abstractNumId w:val="11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061D6"/>
    <w:rsid w:val="00006241"/>
    <w:rsid w:val="0001484B"/>
    <w:rsid w:val="0001610C"/>
    <w:rsid w:val="00022A6E"/>
    <w:rsid w:val="00023C60"/>
    <w:rsid w:val="00023FEF"/>
    <w:rsid w:val="00031AB3"/>
    <w:rsid w:val="00036060"/>
    <w:rsid w:val="00036BF0"/>
    <w:rsid w:val="00036DAC"/>
    <w:rsid w:val="000439CE"/>
    <w:rsid w:val="000448E7"/>
    <w:rsid w:val="00047BB3"/>
    <w:rsid w:val="0005392D"/>
    <w:rsid w:val="00055EB6"/>
    <w:rsid w:val="0006160D"/>
    <w:rsid w:val="00063E30"/>
    <w:rsid w:val="0006481A"/>
    <w:rsid w:val="000649EE"/>
    <w:rsid w:val="00064A81"/>
    <w:rsid w:val="0006556A"/>
    <w:rsid w:val="000657C8"/>
    <w:rsid w:val="0006707F"/>
    <w:rsid w:val="000704D2"/>
    <w:rsid w:val="0007116D"/>
    <w:rsid w:val="000718D6"/>
    <w:rsid w:val="00071DD8"/>
    <w:rsid w:val="000745BC"/>
    <w:rsid w:val="000750E4"/>
    <w:rsid w:val="0007514D"/>
    <w:rsid w:val="00075680"/>
    <w:rsid w:val="00075C96"/>
    <w:rsid w:val="0007634E"/>
    <w:rsid w:val="00077D16"/>
    <w:rsid w:val="00077E5A"/>
    <w:rsid w:val="00080071"/>
    <w:rsid w:val="00082D58"/>
    <w:rsid w:val="00085CFC"/>
    <w:rsid w:val="0008680E"/>
    <w:rsid w:val="00086E58"/>
    <w:rsid w:val="0009115C"/>
    <w:rsid w:val="00091BEE"/>
    <w:rsid w:val="0009478A"/>
    <w:rsid w:val="00095FF6"/>
    <w:rsid w:val="00097072"/>
    <w:rsid w:val="000A2168"/>
    <w:rsid w:val="000A295F"/>
    <w:rsid w:val="000A2AA9"/>
    <w:rsid w:val="000A2AC2"/>
    <w:rsid w:val="000A5120"/>
    <w:rsid w:val="000A6833"/>
    <w:rsid w:val="000A6B80"/>
    <w:rsid w:val="000A769B"/>
    <w:rsid w:val="000B32D5"/>
    <w:rsid w:val="000B5E67"/>
    <w:rsid w:val="000C2AE8"/>
    <w:rsid w:val="000C316C"/>
    <w:rsid w:val="000C3D33"/>
    <w:rsid w:val="000C5CD4"/>
    <w:rsid w:val="000D0008"/>
    <w:rsid w:val="000D3A24"/>
    <w:rsid w:val="000D5B60"/>
    <w:rsid w:val="000D7193"/>
    <w:rsid w:val="000E0E97"/>
    <w:rsid w:val="000E120E"/>
    <w:rsid w:val="000E1FD3"/>
    <w:rsid w:val="000E3209"/>
    <w:rsid w:val="000F0689"/>
    <w:rsid w:val="000F099D"/>
    <w:rsid w:val="000F17A7"/>
    <w:rsid w:val="000F24B9"/>
    <w:rsid w:val="000F302C"/>
    <w:rsid w:val="000F4E45"/>
    <w:rsid w:val="001034C7"/>
    <w:rsid w:val="00105C51"/>
    <w:rsid w:val="001079E8"/>
    <w:rsid w:val="00110C4E"/>
    <w:rsid w:val="00112099"/>
    <w:rsid w:val="00114382"/>
    <w:rsid w:val="0011532D"/>
    <w:rsid w:val="0012013A"/>
    <w:rsid w:val="0012043E"/>
    <w:rsid w:val="001209AF"/>
    <w:rsid w:val="0012122C"/>
    <w:rsid w:val="0012149B"/>
    <w:rsid w:val="00122D16"/>
    <w:rsid w:val="00123527"/>
    <w:rsid w:val="001241A1"/>
    <w:rsid w:val="0012583D"/>
    <w:rsid w:val="0013219F"/>
    <w:rsid w:val="001358D6"/>
    <w:rsid w:val="00136CEC"/>
    <w:rsid w:val="00141BD4"/>
    <w:rsid w:val="00142030"/>
    <w:rsid w:val="00143E25"/>
    <w:rsid w:val="001456C3"/>
    <w:rsid w:val="00154AEA"/>
    <w:rsid w:val="00155DC1"/>
    <w:rsid w:val="00161EBA"/>
    <w:rsid w:val="00165C69"/>
    <w:rsid w:val="0017085C"/>
    <w:rsid w:val="00171D5C"/>
    <w:rsid w:val="0017228F"/>
    <w:rsid w:val="00172D5A"/>
    <w:rsid w:val="001736D6"/>
    <w:rsid w:val="001773BB"/>
    <w:rsid w:val="00181384"/>
    <w:rsid w:val="00186A97"/>
    <w:rsid w:val="00192A19"/>
    <w:rsid w:val="001936DA"/>
    <w:rsid w:val="001A0287"/>
    <w:rsid w:val="001A4854"/>
    <w:rsid w:val="001A76FF"/>
    <w:rsid w:val="001B02F7"/>
    <w:rsid w:val="001B1751"/>
    <w:rsid w:val="001B21FE"/>
    <w:rsid w:val="001B346D"/>
    <w:rsid w:val="001B5C96"/>
    <w:rsid w:val="001B730E"/>
    <w:rsid w:val="001B7982"/>
    <w:rsid w:val="001C0B01"/>
    <w:rsid w:val="001C14DB"/>
    <w:rsid w:val="001C163D"/>
    <w:rsid w:val="001C1F82"/>
    <w:rsid w:val="001C2345"/>
    <w:rsid w:val="001C76F4"/>
    <w:rsid w:val="001D1DCA"/>
    <w:rsid w:val="001D5FA2"/>
    <w:rsid w:val="001D6438"/>
    <w:rsid w:val="001D673D"/>
    <w:rsid w:val="001E197B"/>
    <w:rsid w:val="001E3069"/>
    <w:rsid w:val="001E585B"/>
    <w:rsid w:val="001E5BFA"/>
    <w:rsid w:val="001F1270"/>
    <w:rsid w:val="001F12BB"/>
    <w:rsid w:val="001F2EA3"/>
    <w:rsid w:val="001F6D6D"/>
    <w:rsid w:val="00201C66"/>
    <w:rsid w:val="00201D49"/>
    <w:rsid w:val="002032F6"/>
    <w:rsid w:val="0020661A"/>
    <w:rsid w:val="00210778"/>
    <w:rsid w:val="00212ECD"/>
    <w:rsid w:val="002131B6"/>
    <w:rsid w:val="0021457D"/>
    <w:rsid w:val="00214985"/>
    <w:rsid w:val="00223665"/>
    <w:rsid w:val="0022652D"/>
    <w:rsid w:val="00226D27"/>
    <w:rsid w:val="00232ABE"/>
    <w:rsid w:val="00232E84"/>
    <w:rsid w:val="00233AF6"/>
    <w:rsid w:val="002405C0"/>
    <w:rsid w:val="00240AA3"/>
    <w:rsid w:val="00241AFC"/>
    <w:rsid w:val="00242DF5"/>
    <w:rsid w:val="00242E98"/>
    <w:rsid w:val="002456BF"/>
    <w:rsid w:val="002459AD"/>
    <w:rsid w:val="002474FF"/>
    <w:rsid w:val="0025134B"/>
    <w:rsid w:val="00253411"/>
    <w:rsid w:val="0025453C"/>
    <w:rsid w:val="0025478B"/>
    <w:rsid w:val="002565F0"/>
    <w:rsid w:val="0025679E"/>
    <w:rsid w:val="0026416F"/>
    <w:rsid w:val="0026473E"/>
    <w:rsid w:val="00264D4F"/>
    <w:rsid w:val="00265698"/>
    <w:rsid w:val="00265F2D"/>
    <w:rsid w:val="0027041C"/>
    <w:rsid w:val="00271390"/>
    <w:rsid w:val="00274998"/>
    <w:rsid w:val="002765FB"/>
    <w:rsid w:val="0028568F"/>
    <w:rsid w:val="002874F5"/>
    <w:rsid w:val="00287794"/>
    <w:rsid w:val="00290D51"/>
    <w:rsid w:val="002918A3"/>
    <w:rsid w:val="00294021"/>
    <w:rsid w:val="00295B2D"/>
    <w:rsid w:val="00297D7F"/>
    <w:rsid w:val="002A06E4"/>
    <w:rsid w:val="002A5171"/>
    <w:rsid w:val="002A60A7"/>
    <w:rsid w:val="002B2970"/>
    <w:rsid w:val="002B5053"/>
    <w:rsid w:val="002C4E2A"/>
    <w:rsid w:val="002D3342"/>
    <w:rsid w:val="002D5945"/>
    <w:rsid w:val="002E34F0"/>
    <w:rsid w:val="002E3E30"/>
    <w:rsid w:val="002E5052"/>
    <w:rsid w:val="002E6541"/>
    <w:rsid w:val="002E7E02"/>
    <w:rsid w:val="002F2DC0"/>
    <w:rsid w:val="002F4838"/>
    <w:rsid w:val="002F654E"/>
    <w:rsid w:val="002F7C18"/>
    <w:rsid w:val="00302015"/>
    <w:rsid w:val="00302556"/>
    <w:rsid w:val="00304237"/>
    <w:rsid w:val="00305CCC"/>
    <w:rsid w:val="00307E3A"/>
    <w:rsid w:val="0031726A"/>
    <w:rsid w:val="00317A2D"/>
    <w:rsid w:val="00320C0E"/>
    <w:rsid w:val="003239AD"/>
    <w:rsid w:val="00323A55"/>
    <w:rsid w:val="00324D6C"/>
    <w:rsid w:val="00327400"/>
    <w:rsid w:val="00330817"/>
    <w:rsid w:val="00331381"/>
    <w:rsid w:val="00334D26"/>
    <w:rsid w:val="003371F1"/>
    <w:rsid w:val="003407D7"/>
    <w:rsid w:val="003414A1"/>
    <w:rsid w:val="003418A9"/>
    <w:rsid w:val="003420F3"/>
    <w:rsid w:val="00343AB3"/>
    <w:rsid w:val="00343AC0"/>
    <w:rsid w:val="00343C03"/>
    <w:rsid w:val="00343D06"/>
    <w:rsid w:val="00344B65"/>
    <w:rsid w:val="003450EE"/>
    <w:rsid w:val="00346134"/>
    <w:rsid w:val="003473C6"/>
    <w:rsid w:val="003507CF"/>
    <w:rsid w:val="00355182"/>
    <w:rsid w:val="00360919"/>
    <w:rsid w:val="00363142"/>
    <w:rsid w:val="003634E3"/>
    <w:rsid w:val="00364816"/>
    <w:rsid w:val="00367347"/>
    <w:rsid w:val="0037112F"/>
    <w:rsid w:val="003746BC"/>
    <w:rsid w:val="00374BFE"/>
    <w:rsid w:val="00376F56"/>
    <w:rsid w:val="00383089"/>
    <w:rsid w:val="00386106"/>
    <w:rsid w:val="003863D0"/>
    <w:rsid w:val="00392FFE"/>
    <w:rsid w:val="00394E1F"/>
    <w:rsid w:val="0039713A"/>
    <w:rsid w:val="003972C6"/>
    <w:rsid w:val="003A29E8"/>
    <w:rsid w:val="003A6BA0"/>
    <w:rsid w:val="003B22D7"/>
    <w:rsid w:val="003B3B7E"/>
    <w:rsid w:val="003B4C40"/>
    <w:rsid w:val="003B5EAB"/>
    <w:rsid w:val="003B75FF"/>
    <w:rsid w:val="003C42C5"/>
    <w:rsid w:val="003C4460"/>
    <w:rsid w:val="003C53E9"/>
    <w:rsid w:val="003C7BF5"/>
    <w:rsid w:val="003D06E1"/>
    <w:rsid w:val="003D0CA3"/>
    <w:rsid w:val="003D4888"/>
    <w:rsid w:val="003D68E6"/>
    <w:rsid w:val="003E0A4A"/>
    <w:rsid w:val="003E1F9B"/>
    <w:rsid w:val="003E34A1"/>
    <w:rsid w:val="003E37F1"/>
    <w:rsid w:val="003E3C32"/>
    <w:rsid w:val="003E5D9C"/>
    <w:rsid w:val="003F4A07"/>
    <w:rsid w:val="00401966"/>
    <w:rsid w:val="00402D6C"/>
    <w:rsid w:val="0040372B"/>
    <w:rsid w:val="00406CC2"/>
    <w:rsid w:val="004109AB"/>
    <w:rsid w:val="004127A1"/>
    <w:rsid w:val="00412E10"/>
    <w:rsid w:val="00414A99"/>
    <w:rsid w:val="0041560A"/>
    <w:rsid w:val="00415D77"/>
    <w:rsid w:val="00423DC2"/>
    <w:rsid w:val="0042575F"/>
    <w:rsid w:val="0042583F"/>
    <w:rsid w:val="00426F23"/>
    <w:rsid w:val="00433754"/>
    <w:rsid w:val="004351AB"/>
    <w:rsid w:val="004361D6"/>
    <w:rsid w:val="0043632E"/>
    <w:rsid w:val="00440396"/>
    <w:rsid w:val="00441208"/>
    <w:rsid w:val="00441403"/>
    <w:rsid w:val="00444014"/>
    <w:rsid w:val="00446014"/>
    <w:rsid w:val="00446241"/>
    <w:rsid w:val="0044782D"/>
    <w:rsid w:val="004502E3"/>
    <w:rsid w:val="004552BC"/>
    <w:rsid w:val="00457F05"/>
    <w:rsid w:val="00461B24"/>
    <w:rsid w:val="0046461B"/>
    <w:rsid w:val="00465EB9"/>
    <w:rsid w:val="004740B6"/>
    <w:rsid w:val="00474C6F"/>
    <w:rsid w:val="00475C84"/>
    <w:rsid w:val="00476E01"/>
    <w:rsid w:val="0048110F"/>
    <w:rsid w:val="00482D94"/>
    <w:rsid w:val="00486AA9"/>
    <w:rsid w:val="004909EA"/>
    <w:rsid w:val="00492EE1"/>
    <w:rsid w:val="004938E5"/>
    <w:rsid w:val="00494F8F"/>
    <w:rsid w:val="004954D9"/>
    <w:rsid w:val="00497D05"/>
    <w:rsid w:val="004A3CFD"/>
    <w:rsid w:val="004A6CB9"/>
    <w:rsid w:val="004A6DD3"/>
    <w:rsid w:val="004B353B"/>
    <w:rsid w:val="004B4464"/>
    <w:rsid w:val="004B650F"/>
    <w:rsid w:val="004B71F6"/>
    <w:rsid w:val="004C69A4"/>
    <w:rsid w:val="004D2101"/>
    <w:rsid w:val="004D43A4"/>
    <w:rsid w:val="004D5644"/>
    <w:rsid w:val="004D6777"/>
    <w:rsid w:val="004E4CEE"/>
    <w:rsid w:val="004F033D"/>
    <w:rsid w:val="004F1863"/>
    <w:rsid w:val="004F1929"/>
    <w:rsid w:val="004F1E0D"/>
    <w:rsid w:val="004F604B"/>
    <w:rsid w:val="004F6654"/>
    <w:rsid w:val="004F7DE5"/>
    <w:rsid w:val="00500B78"/>
    <w:rsid w:val="00501A56"/>
    <w:rsid w:val="00503ADA"/>
    <w:rsid w:val="0050438F"/>
    <w:rsid w:val="00504782"/>
    <w:rsid w:val="00506296"/>
    <w:rsid w:val="005107F3"/>
    <w:rsid w:val="0051080B"/>
    <w:rsid w:val="005108FC"/>
    <w:rsid w:val="0051282C"/>
    <w:rsid w:val="0051341F"/>
    <w:rsid w:val="005146D3"/>
    <w:rsid w:val="00520781"/>
    <w:rsid w:val="00520973"/>
    <w:rsid w:val="00520AD4"/>
    <w:rsid w:val="00524F9F"/>
    <w:rsid w:val="00526636"/>
    <w:rsid w:val="00531802"/>
    <w:rsid w:val="00531B76"/>
    <w:rsid w:val="00532715"/>
    <w:rsid w:val="00533E78"/>
    <w:rsid w:val="0053454F"/>
    <w:rsid w:val="00534920"/>
    <w:rsid w:val="0054035C"/>
    <w:rsid w:val="005523EA"/>
    <w:rsid w:val="00552AAC"/>
    <w:rsid w:val="005564C5"/>
    <w:rsid w:val="00560165"/>
    <w:rsid w:val="00566DE7"/>
    <w:rsid w:val="00567084"/>
    <w:rsid w:val="00571C77"/>
    <w:rsid w:val="00573259"/>
    <w:rsid w:val="00576BBF"/>
    <w:rsid w:val="005803D0"/>
    <w:rsid w:val="00580BAA"/>
    <w:rsid w:val="00583309"/>
    <w:rsid w:val="005853AE"/>
    <w:rsid w:val="0059137D"/>
    <w:rsid w:val="00593641"/>
    <w:rsid w:val="00594A75"/>
    <w:rsid w:val="005964B4"/>
    <w:rsid w:val="005A0E62"/>
    <w:rsid w:val="005A13DE"/>
    <w:rsid w:val="005A29D7"/>
    <w:rsid w:val="005A4A6F"/>
    <w:rsid w:val="005A5AD2"/>
    <w:rsid w:val="005A603E"/>
    <w:rsid w:val="005B2FFC"/>
    <w:rsid w:val="005B3091"/>
    <w:rsid w:val="005B69C3"/>
    <w:rsid w:val="005C0E40"/>
    <w:rsid w:val="005C1BED"/>
    <w:rsid w:val="005C581C"/>
    <w:rsid w:val="005C74BA"/>
    <w:rsid w:val="005D0FF2"/>
    <w:rsid w:val="005D1209"/>
    <w:rsid w:val="005D1ED1"/>
    <w:rsid w:val="005D3F23"/>
    <w:rsid w:val="005D596B"/>
    <w:rsid w:val="005D5988"/>
    <w:rsid w:val="005D7F0B"/>
    <w:rsid w:val="005E0DEB"/>
    <w:rsid w:val="005E14D3"/>
    <w:rsid w:val="005E308B"/>
    <w:rsid w:val="005E41D0"/>
    <w:rsid w:val="005F59FE"/>
    <w:rsid w:val="005F7E46"/>
    <w:rsid w:val="00601275"/>
    <w:rsid w:val="00601440"/>
    <w:rsid w:val="00601897"/>
    <w:rsid w:val="00605F44"/>
    <w:rsid w:val="00610D41"/>
    <w:rsid w:val="00616911"/>
    <w:rsid w:val="00616C24"/>
    <w:rsid w:val="006177AE"/>
    <w:rsid w:val="006205D3"/>
    <w:rsid w:val="00621080"/>
    <w:rsid w:val="00622103"/>
    <w:rsid w:val="00622793"/>
    <w:rsid w:val="006248EC"/>
    <w:rsid w:val="00624D20"/>
    <w:rsid w:val="006264C9"/>
    <w:rsid w:val="00627EBE"/>
    <w:rsid w:val="00630343"/>
    <w:rsid w:val="00632942"/>
    <w:rsid w:val="00632B57"/>
    <w:rsid w:val="006332B7"/>
    <w:rsid w:val="00635207"/>
    <w:rsid w:val="006375D2"/>
    <w:rsid w:val="006425BA"/>
    <w:rsid w:val="00645A43"/>
    <w:rsid w:val="00650ABD"/>
    <w:rsid w:val="00650B11"/>
    <w:rsid w:val="00651B12"/>
    <w:rsid w:val="006568E3"/>
    <w:rsid w:val="00656B51"/>
    <w:rsid w:val="00661707"/>
    <w:rsid w:val="00662D26"/>
    <w:rsid w:val="00664CB9"/>
    <w:rsid w:val="006652BA"/>
    <w:rsid w:val="00672E90"/>
    <w:rsid w:val="006756A5"/>
    <w:rsid w:val="00680031"/>
    <w:rsid w:val="00680F43"/>
    <w:rsid w:val="00681504"/>
    <w:rsid w:val="00681E94"/>
    <w:rsid w:val="00683845"/>
    <w:rsid w:val="006853D9"/>
    <w:rsid w:val="00686C9F"/>
    <w:rsid w:val="006871B4"/>
    <w:rsid w:val="00687DCD"/>
    <w:rsid w:val="00690357"/>
    <w:rsid w:val="00695AFD"/>
    <w:rsid w:val="0069695F"/>
    <w:rsid w:val="00696C84"/>
    <w:rsid w:val="0069746A"/>
    <w:rsid w:val="006A3EFE"/>
    <w:rsid w:val="006A446D"/>
    <w:rsid w:val="006A5D62"/>
    <w:rsid w:val="006A780C"/>
    <w:rsid w:val="006A7944"/>
    <w:rsid w:val="006A7C41"/>
    <w:rsid w:val="006B05A2"/>
    <w:rsid w:val="006B1E9C"/>
    <w:rsid w:val="006B7D7C"/>
    <w:rsid w:val="006C6707"/>
    <w:rsid w:val="006D0218"/>
    <w:rsid w:val="006D0B16"/>
    <w:rsid w:val="006D29AA"/>
    <w:rsid w:val="006D2CBE"/>
    <w:rsid w:val="006D305C"/>
    <w:rsid w:val="006D386D"/>
    <w:rsid w:val="006D4920"/>
    <w:rsid w:val="006D6A9A"/>
    <w:rsid w:val="006D6B60"/>
    <w:rsid w:val="006D7C38"/>
    <w:rsid w:val="006D7CE5"/>
    <w:rsid w:val="006E64F8"/>
    <w:rsid w:val="006F5ECB"/>
    <w:rsid w:val="006F66F7"/>
    <w:rsid w:val="00702199"/>
    <w:rsid w:val="007030DD"/>
    <w:rsid w:val="007039AC"/>
    <w:rsid w:val="00713133"/>
    <w:rsid w:val="00714683"/>
    <w:rsid w:val="00717C85"/>
    <w:rsid w:val="00722198"/>
    <w:rsid w:val="0073070E"/>
    <w:rsid w:val="007319AB"/>
    <w:rsid w:val="007336AF"/>
    <w:rsid w:val="007347F8"/>
    <w:rsid w:val="00741183"/>
    <w:rsid w:val="007454F2"/>
    <w:rsid w:val="00745BEC"/>
    <w:rsid w:val="007460E3"/>
    <w:rsid w:val="007500B1"/>
    <w:rsid w:val="00761F90"/>
    <w:rsid w:val="007649B5"/>
    <w:rsid w:val="00764FD6"/>
    <w:rsid w:val="007650BC"/>
    <w:rsid w:val="00767A08"/>
    <w:rsid w:val="00772A00"/>
    <w:rsid w:val="0077345B"/>
    <w:rsid w:val="00774763"/>
    <w:rsid w:val="00774872"/>
    <w:rsid w:val="00774FAB"/>
    <w:rsid w:val="00782A9E"/>
    <w:rsid w:val="00791700"/>
    <w:rsid w:val="007926F7"/>
    <w:rsid w:val="00792977"/>
    <w:rsid w:val="00792F39"/>
    <w:rsid w:val="00797DFE"/>
    <w:rsid w:val="007B1C81"/>
    <w:rsid w:val="007B4B6F"/>
    <w:rsid w:val="007B720B"/>
    <w:rsid w:val="007C0835"/>
    <w:rsid w:val="007C0F4E"/>
    <w:rsid w:val="007C2279"/>
    <w:rsid w:val="007C5075"/>
    <w:rsid w:val="007D472B"/>
    <w:rsid w:val="007D5F9D"/>
    <w:rsid w:val="007D6AC5"/>
    <w:rsid w:val="007D73E9"/>
    <w:rsid w:val="007D7DB0"/>
    <w:rsid w:val="007E4F5F"/>
    <w:rsid w:val="007F3B25"/>
    <w:rsid w:val="007F4F57"/>
    <w:rsid w:val="007F69E9"/>
    <w:rsid w:val="008001DB"/>
    <w:rsid w:val="008005C0"/>
    <w:rsid w:val="00800D2C"/>
    <w:rsid w:val="00804429"/>
    <w:rsid w:val="00804476"/>
    <w:rsid w:val="008050A6"/>
    <w:rsid w:val="00805D65"/>
    <w:rsid w:val="00810BC8"/>
    <w:rsid w:val="00810D44"/>
    <w:rsid w:val="0081387A"/>
    <w:rsid w:val="00816A63"/>
    <w:rsid w:val="008230B4"/>
    <w:rsid w:val="008231A8"/>
    <w:rsid w:val="008242EA"/>
    <w:rsid w:val="00826E67"/>
    <w:rsid w:val="00832744"/>
    <w:rsid w:val="00833F20"/>
    <w:rsid w:val="008349D3"/>
    <w:rsid w:val="00835BD5"/>
    <w:rsid w:val="00841B0E"/>
    <w:rsid w:val="00841E1A"/>
    <w:rsid w:val="0084600F"/>
    <w:rsid w:val="008503A4"/>
    <w:rsid w:val="00850B82"/>
    <w:rsid w:val="008544BE"/>
    <w:rsid w:val="0086143C"/>
    <w:rsid w:val="00861E81"/>
    <w:rsid w:val="008633B2"/>
    <w:rsid w:val="008634C5"/>
    <w:rsid w:val="008662F7"/>
    <w:rsid w:val="0086724E"/>
    <w:rsid w:val="0087254A"/>
    <w:rsid w:val="00872C5C"/>
    <w:rsid w:val="00875EA6"/>
    <w:rsid w:val="008809B4"/>
    <w:rsid w:val="008818B0"/>
    <w:rsid w:val="00882E1A"/>
    <w:rsid w:val="0088376B"/>
    <w:rsid w:val="008876C7"/>
    <w:rsid w:val="0089044C"/>
    <w:rsid w:val="008908F5"/>
    <w:rsid w:val="00892591"/>
    <w:rsid w:val="00893D64"/>
    <w:rsid w:val="00894CC0"/>
    <w:rsid w:val="008960DE"/>
    <w:rsid w:val="00896F71"/>
    <w:rsid w:val="008A0147"/>
    <w:rsid w:val="008A05F4"/>
    <w:rsid w:val="008A6656"/>
    <w:rsid w:val="008A6923"/>
    <w:rsid w:val="008A6EC0"/>
    <w:rsid w:val="008B1929"/>
    <w:rsid w:val="008B651E"/>
    <w:rsid w:val="008C54E0"/>
    <w:rsid w:val="008C58BA"/>
    <w:rsid w:val="008D12AB"/>
    <w:rsid w:val="008D1B33"/>
    <w:rsid w:val="008D3951"/>
    <w:rsid w:val="008D41BD"/>
    <w:rsid w:val="008D5178"/>
    <w:rsid w:val="008D5D04"/>
    <w:rsid w:val="008D7289"/>
    <w:rsid w:val="008E0472"/>
    <w:rsid w:val="008E2B92"/>
    <w:rsid w:val="008E376D"/>
    <w:rsid w:val="008E6B7D"/>
    <w:rsid w:val="008F07BD"/>
    <w:rsid w:val="008F486F"/>
    <w:rsid w:val="00905B20"/>
    <w:rsid w:val="009078D9"/>
    <w:rsid w:val="00910BC7"/>
    <w:rsid w:val="00912305"/>
    <w:rsid w:val="0091374A"/>
    <w:rsid w:val="009169E0"/>
    <w:rsid w:val="0092158A"/>
    <w:rsid w:val="00923635"/>
    <w:rsid w:val="00925D91"/>
    <w:rsid w:val="00925DEF"/>
    <w:rsid w:val="00926386"/>
    <w:rsid w:val="00926562"/>
    <w:rsid w:val="00926FC9"/>
    <w:rsid w:val="009304F0"/>
    <w:rsid w:val="00930546"/>
    <w:rsid w:val="00931B09"/>
    <w:rsid w:val="0093227B"/>
    <w:rsid w:val="00932B4D"/>
    <w:rsid w:val="00936EA4"/>
    <w:rsid w:val="00940FCE"/>
    <w:rsid w:val="009414E4"/>
    <w:rsid w:val="0094324C"/>
    <w:rsid w:val="00943E3F"/>
    <w:rsid w:val="00944E40"/>
    <w:rsid w:val="00946B1A"/>
    <w:rsid w:val="0095087A"/>
    <w:rsid w:val="00950E2A"/>
    <w:rsid w:val="009521EF"/>
    <w:rsid w:val="00961383"/>
    <w:rsid w:val="00963D36"/>
    <w:rsid w:val="00971956"/>
    <w:rsid w:val="00971BE1"/>
    <w:rsid w:val="0097255E"/>
    <w:rsid w:val="009727CC"/>
    <w:rsid w:val="009744A8"/>
    <w:rsid w:val="00976DBA"/>
    <w:rsid w:val="0098133E"/>
    <w:rsid w:val="009814C8"/>
    <w:rsid w:val="00981B52"/>
    <w:rsid w:val="00982947"/>
    <w:rsid w:val="00987397"/>
    <w:rsid w:val="0099592A"/>
    <w:rsid w:val="00996166"/>
    <w:rsid w:val="009967F6"/>
    <w:rsid w:val="0099716E"/>
    <w:rsid w:val="009A00C8"/>
    <w:rsid w:val="009A4157"/>
    <w:rsid w:val="009A4291"/>
    <w:rsid w:val="009A5738"/>
    <w:rsid w:val="009B060A"/>
    <w:rsid w:val="009B28E6"/>
    <w:rsid w:val="009B75E1"/>
    <w:rsid w:val="009C5223"/>
    <w:rsid w:val="009D07A6"/>
    <w:rsid w:val="009D0A98"/>
    <w:rsid w:val="009D6925"/>
    <w:rsid w:val="009D6B35"/>
    <w:rsid w:val="009E0076"/>
    <w:rsid w:val="009E01EB"/>
    <w:rsid w:val="009E0712"/>
    <w:rsid w:val="009E1944"/>
    <w:rsid w:val="009E1B9C"/>
    <w:rsid w:val="009E3D50"/>
    <w:rsid w:val="009E46F1"/>
    <w:rsid w:val="009E70B7"/>
    <w:rsid w:val="009F0EB1"/>
    <w:rsid w:val="009F10E6"/>
    <w:rsid w:val="009F2D32"/>
    <w:rsid w:val="009F331A"/>
    <w:rsid w:val="009F3516"/>
    <w:rsid w:val="009F4AB8"/>
    <w:rsid w:val="009F7CBD"/>
    <w:rsid w:val="00A005E9"/>
    <w:rsid w:val="00A007DF"/>
    <w:rsid w:val="00A04326"/>
    <w:rsid w:val="00A044D7"/>
    <w:rsid w:val="00A049E6"/>
    <w:rsid w:val="00A051F5"/>
    <w:rsid w:val="00A07EC4"/>
    <w:rsid w:val="00A10E1C"/>
    <w:rsid w:val="00A13891"/>
    <w:rsid w:val="00A158C3"/>
    <w:rsid w:val="00A21258"/>
    <w:rsid w:val="00A21F7C"/>
    <w:rsid w:val="00A255E9"/>
    <w:rsid w:val="00A25649"/>
    <w:rsid w:val="00A27FBC"/>
    <w:rsid w:val="00A3290E"/>
    <w:rsid w:val="00A33005"/>
    <w:rsid w:val="00A34C13"/>
    <w:rsid w:val="00A35A9B"/>
    <w:rsid w:val="00A361CF"/>
    <w:rsid w:val="00A40AEB"/>
    <w:rsid w:val="00A42396"/>
    <w:rsid w:val="00A4265A"/>
    <w:rsid w:val="00A44F6C"/>
    <w:rsid w:val="00A52865"/>
    <w:rsid w:val="00A537EB"/>
    <w:rsid w:val="00A54BC0"/>
    <w:rsid w:val="00A555A2"/>
    <w:rsid w:val="00A56644"/>
    <w:rsid w:val="00A667BF"/>
    <w:rsid w:val="00A67248"/>
    <w:rsid w:val="00A70BCA"/>
    <w:rsid w:val="00A70CA6"/>
    <w:rsid w:val="00A7369B"/>
    <w:rsid w:val="00A739B7"/>
    <w:rsid w:val="00A74D19"/>
    <w:rsid w:val="00A75B76"/>
    <w:rsid w:val="00A75C3A"/>
    <w:rsid w:val="00A7604A"/>
    <w:rsid w:val="00A80987"/>
    <w:rsid w:val="00A80B5E"/>
    <w:rsid w:val="00A812E1"/>
    <w:rsid w:val="00A83A79"/>
    <w:rsid w:val="00A84A3B"/>
    <w:rsid w:val="00A90160"/>
    <w:rsid w:val="00A912CB"/>
    <w:rsid w:val="00A93DFF"/>
    <w:rsid w:val="00A959C2"/>
    <w:rsid w:val="00A95E77"/>
    <w:rsid w:val="00AA0838"/>
    <w:rsid w:val="00AB178F"/>
    <w:rsid w:val="00AB25FD"/>
    <w:rsid w:val="00AB3A38"/>
    <w:rsid w:val="00AB3E3B"/>
    <w:rsid w:val="00AC02AE"/>
    <w:rsid w:val="00AC18FD"/>
    <w:rsid w:val="00AC2BCF"/>
    <w:rsid w:val="00AC3FFF"/>
    <w:rsid w:val="00AD16CE"/>
    <w:rsid w:val="00AD2B76"/>
    <w:rsid w:val="00AD34FD"/>
    <w:rsid w:val="00AD4378"/>
    <w:rsid w:val="00AD5FB8"/>
    <w:rsid w:val="00AD6855"/>
    <w:rsid w:val="00AE0925"/>
    <w:rsid w:val="00AE3778"/>
    <w:rsid w:val="00AE798C"/>
    <w:rsid w:val="00AF120E"/>
    <w:rsid w:val="00AF44AD"/>
    <w:rsid w:val="00AF63F3"/>
    <w:rsid w:val="00B0253E"/>
    <w:rsid w:val="00B06ED3"/>
    <w:rsid w:val="00B07064"/>
    <w:rsid w:val="00B077C6"/>
    <w:rsid w:val="00B102EC"/>
    <w:rsid w:val="00B12E8C"/>
    <w:rsid w:val="00B14F74"/>
    <w:rsid w:val="00B21DF6"/>
    <w:rsid w:val="00B22BC5"/>
    <w:rsid w:val="00B245B7"/>
    <w:rsid w:val="00B25894"/>
    <w:rsid w:val="00B2686F"/>
    <w:rsid w:val="00B27359"/>
    <w:rsid w:val="00B3090F"/>
    <w:rsid w:val="00B32681"/>
    <w:rsid w:val="00B344F9"/>
    <w:rsid w:val="00B42140"/>
    <w:rsid w:val="00B43659"/>
    <w:rsid w:val="00B452FF"/>
    <w:rsid w:val="00B460AE"/>
    <w:rsid w:val="00B47122"/>
    <w:rsid w:val="00B47ABD"/>
    <w:rsid w:val="00B52021"/>
    <w:rsid w:val="00B5349E"/>
    <w:rsid w:val="00B55B24"/>
    <w:rsid w:val="00B57A53"/>
    <w:rsid w:val="00B62812"/>
    <w:rsid w:val="00B6297B"/>
    <w:rsid w:val="00B65ECB"/>
    <w:rsid w:val="00B70DC7"/>
    <w:rsid w:val="00B70E9D"/>
    <w:rsid w:val="00B7582F"/>
    <w:rsid w:val="00B802D2"/>
    <w:rsid w:val="00B803D0"/>
    <w:rsid w:val="00B81F3D"/>
    <w:rsid w:val="00B84960"/>
    <w:rsid w:val="00B86117"/>
    <w:rsid w:val="00B92DDA"/>
    <w:rsid w:val="00B958F0"/>
    <w:rsid w:val="00B95FF5"/>
    <w:rsid w:val="00BA04E9"/>
    <w:rsid w:val="00BA24FC"/>
    <w:rsid w:val="00BA3F8B"/>
    <w:rsid w:val="00BA5446"/>
    <w:rsid w:val="00BA5DAE"/>
    <w:rsid w:val="00BA6D1E"/>
    <w:rsid w:val="00BB36A5"/>
    <w:rsid w:val="00BB3AE6"/>
    <w:rsid w:val="00BB51FD"/>
    <w:rsid w:val="00BB58FA"/>
    <w:rsid w:val="00BB6396"/>
    <w:rsid w:val="00BC240C"/>
    <w:rsid w:val="00BD0F76"/>
    <w:rsid w:val="00BD706C"/>
    <w:rsid w:val="00BD751E"/>
    <w:rsid w:val="00BE61CB"/>
    <w:rsid w:val="00BF266C"/>
    <w:rsid w:val="00BF2EFE"/>
    <w:rsid w:val="00BF43D8"/>
    <w:rsid w:val="00BF70FD"/>
    <w:rsid w:val="00C04AF7"/>
    <w:rsid w:val="00C0597E"/>
    <w:rsid w:val="00C062D0"/>
    <w:rsid w:val="00C07866"/>
    <w:rsid w:val="00C10ADE"/>
    <w:rsid w:val="00C113F5"/>
    <w:rsid w:val="00C1497A"/>
    <w:rsid w:val="00C172EE"/>
    <w:rsid w:val="00C2265E"/>
    <w:rsid w:val="00C22A6D"/>
    <w:rsid w:val="00C235E8"/>
    <w:rsid w:val="00C250E4"/>
    <w:rsid w:val="00C25EEE"/>
    <w:rsid w:val="00C30EB4"/>
    <w:rsid w:val="00C32987"/>
    <w:rsid w:val="00C36476"/>
    <w:rsid w:val="00C36825"/>
    <w:rsid w:val="00C36DB2"/>
    <w:rsid w:val="00C40B76"/>
    <w:rsid w:val="00C4224B"/>
    <w:rsid w:val="00C46A01"/>
    <w:rsid w:val="00C46D7F"/>
    <w:rsid w:val="00C51590"/>
    <w:rsid w:val="00C539C5"/>
    <w:rsid w:val="00C53A58"/>
    <w:rsid w:val="00C54726"/>
    <w:rsid w:val="00C54D6C"/>
    <w:rsid w:val="00C5515C"/>
    <w:rsid w:val="00C60E0F"/>
    <w:rsid w:val="00C624A0"/>
    <w:rsid w:val="00C64ECC"/>
    <w:rsid w:val="00C6770E"/>
    <w:rsid w:val="00C73B28"/>
    <w:rsid w:val="00C73F2B"/>
    <w:rsid w:val="00C75E3B"/>
    <w:rsid w:val="00C76556"/>
    <w:rsid w:val="00C76F89"/>
    <w:rsid w:val="00C8206E"/>
    <w:rsid w:val="00C827CF"/>
    <w:rsid w:val="00C84CF7"/>
    <w:rsid w:val="00C86BD2"/>
    <w:rsid w:val="00C87251"/>
    <w:rsid w:val="00C927ED"/>
    <w:rsid w:val="00CA3498"/>
    <w:rsid w:val="00CA3FA1"/>
    <w:rsid w:val="00CA4970"/>
    <w:rsid w:val="00CA5FF4"/>
    <w:rsid w:val="00CB235B"/>
    <w:rsid w:val="00CB54E4"/>
    <w:rsid w:val="00CB710F"/>
    <w:rsid w:val="00CB751F"/>
    <w:rsid w:val="00CC252E"/>
    <w:rsid w:val="00CC49F4"/>
    <w:rsid w:val="00CC5D9F"/>
    <w:rsid w:val="00CC6BA6"/>
    <w:rsid w:val="00CC7AA1"/>
    <w:rsid w:val="00CC7AAC"/>
    <w:rsid w:val="00CD0529"/>
    <w:rsid w:val="00CD26F5"/>
    <w:rsid w:val="00CD4B2C"/>
    <w:rsid w:val="00CD540D"/>
    <w:rsid w:val="00CD54AA"/>
    <w:rsid w:val="00CD5BB6"/>
    <w:rsid w:val="00CD6E42"/>
    <w:rsid w:val="00CD74D9"/>
    <w:rsid w:val="00CE2C29"/>
    <w:rsid w:val="00CE3170"/>
    <w:rsid w:val="00CE54AD"/>
    <w:rsid w:val="00CE71D0"/>
    <w:rsid w:val="00CE749D"/>
    <w:rsid w:val="00CE7D06"/>
    <w:rsid w:val="00CF0A00"/>
    <w:rsid w:val="00CF247F"/>
    <w:rsid w:val="00D0131E"/>
    <w:rsid w:val="00D0230B"/>
    <w:rsid w:val="00D03F4B"/>
    <w:rsid w:val="00D04475"/>
    <w:rsid w:val="00D05B5B"/>
    <w:rsid w:val="00D066E6"/>
    <w:rsid w:val="00D06D38"/>
    <w:rsid w:val="00D123C2"/>
    <w:rsid w:val="00D1302F"/>
    <w:rsid w:val="00D143FD"/>
    <w:rsid w:val="00D149DC"/>
    <w:rsid w:val="00D160E6"/>
    <w:rsid w:val="00D161FE"/>
    <w:rsid w:val="00D16D21"/>
    <w:rsid w:val="00D208C8"/>
    <w:rsid w:val="00D209DE"/>
    <w:rsid w:val="00D21D32"/>
    <w:rsid w:val="00D23F05"/>
    <w:rsid w:val="00D27634"/>
    <w:rsid w:val="00D3047B"/>
    <w:rsid w:val="00D322E1"/>
    <w:rsid w:val="00D32E7B"/>
    <w:rsid w:val="00D37492"/>
    <w:rsid w:val="00D42C5E"/>
    <w:rsid w:val="00D43B43"/>
    <w:rsid w:val="00D5327C"/>
    <w:rsid w:val="00D56ACB"/>
    <w:rsid w:val="00D575CA"/>
    <w:rsid w:val="00D57B06"/>
    <w:rsid w:val="00D61EFD"/>
    <w:rsid w:val="00D6382B"/>
    <w:rsid w:val="00D66253"/>
    <w:rsid w:val="00D66FBE"/>
    <w:rsid w:val="00D743BB"/>
    <w:rsid w:val="00D75616"/>
    <w:rsid w:val="00D76EC7"/>
    <w:rsid w:val="00D80BBD"/>
    <w:rsid w:val="00D825C2"/>
    <w:rsid w:val="00D8301C"/>
    <w:rsid w:val="00D85CB5"/>
    <w:rsid w:val="00D86B9E"/>
    <w:rsid w:val="00D90176"/>
    <w:rsid w:val="00D9043A"/>
    <w:rsid w:val="00D9521C"/>
    <w:rsid w:val="00DB2E76"/>
    <w:rsid w:val="00DB3304"/>
    <w:rsid w:val="00DB3852"/>
    <w:rsid w:val="00DB60B1"/>
    <w:rsid w:val="00DB675F"/>
    <w:rsid w:val="00DC30D2"/>
    <w:rsid w:val="00DC3A2B"/>
    <w:rsid w:val="00DD178D"/>
    <w:rsid w:val="00DD19C9"/>
    <w:rsid w:val="00DD26F9"/>
    <w:rsid w:val="00DD79E1"/>
    <w:rsid w:val="00DE114E"/>
    <w:rsid w:val="00DE1A31"/>
    <w:rsid w:val="00DE2C00"/>
    <w:rsid w:val="00DE42B9"/>
    <w:rsid w:val="00DE5D1C"/>
    <w:rsid w:val="00DE74E0"/>
    <w:rsid w:val="00DF0A2B"/>
    <w:rsid w:val="00DF5294"/>
    <w:rsid w:val="00DF6BEB"/>
    <w:rsid w:val="00E00B19"/>
    <w:rsid w:val="00E0323D"/>
    <w:rsid w:val="00E03E9E"/>
    <w:rsid w:val="00E04D56"/>
    <w:rsid w:val="00E06285"/>
    <w:rsid w:val="00E07C67"/>
    <w:rsid w:val="00E13603"/>
    <w:rsid w:val="00E16AE6"/>
    <w:rsid w:val="00E20DFB"/>
    <w:rsid w:val="00E24A8E"/>
    <w:rsid w:val="00E27E3E"/>
    <w:rsid w:val="00E31F76"/>
    <w:rsid w:val="00E339AA"/>
    <w:rsid w:val="00E3537E"/>
    <w:rsid w:val="00E35E94"/>
    <w:rsid w:val="00E46279"/>
    <w:rsid w:val="00E502D8"/>
    <w:rsid w:val="00E52434"/>
    <w:rsid w:val="00E52F02"/>
    <w:rsid w:val="00E54DB0"/>
    <w:rsid w:val="00E550FE"/>
    <w:rsid w:val="00E55100"/>
    <w:rsid w:val="00E607A6"/>
    <w:rsid w:val="00E63B2D"/>
    <w:rsid w:val="00E658E8"/>
    <w:rsid w:val="00E65FFC"/>
    <w:rsid w:val="00E728DF"/>
    <w:rsid w:val="00E745AE"/>
    <w:rsid w:val="00E769E3"/>
    <w:rsid w:val="00E83ABA"/>
    <w:rsid w:val="00E87D12"/>
    <w:rsid w:val="00E949E3"/>
    <w:rsid w:val="00E95FAF"/>
    <w:rsid w:val="00EA135B"/>
    <w:rsid w:val="00EA3E6E"/>
    <w:rsid w:val="00EA6A0A"/>
    <w:rsid w:val="00EA700C"/>
    <w:rsid w:val="00EB46C1"/>
    <w:rsid w:val="00EC17EB"/>
    <w:rsid w:val="00EC70B7"/>
    <w:rsid w:val="00ED271C"/>
    <w:rsid w:val="00ED4128"/>
    <w:rsid w:val="00ED57AE"/>
    <w:rsid w:val="00ED5E1D"/>
    <w:rsid w:val="00ED78DD"/>
    <w:rsid w:val="00EE2C89"/>
    <w:rsid w:val="00EE2F15"/>
    <w:rsid w:val="00EE40EE"/>
    <w:rsid w:val="00EE612E"/>
    <w:rsid w:val="00EE6899"/>
    <w:rsid w:val="00EF0FDB"/>
    <w:rsid w:val="00EF1070"/>
    <w:rsid w:val="00EF1BBF"/>
    <w:rsid w:val="00EF66E1"/>
    <w:rsid w:val="00EF7945"/>
    <w:rsid w:val="00F010DA"/>
    <w:rsid w:val="00F01744"/>
    <w:rsid w:val="00F030A6"/>
    <w:rsid w:val="00F0371F"/>
    <w:rsid w:val="00F07DD1"/>
    <w:rsid w:val="00F10195"/>
    <w:rsid w:val="00F10F97"/>
    <w:rsid w:val="00F13106"/>
    <w:rsid w:val="00F14627"/>
    <w:rsid w:val="00F15C06"/>
    <w:rsid w:val="00F20081"/>
    <w:rsid w:val="00F2246F"/>
    <w:rsid w:val="00F22A3A"/>
    <w:rsid w:val="00F231A8"/>
    <w:rsid w:val="00F2378F"/>
    <w:rsid w:val="00F33610"/>
    <w:rsid w:val="00F34E71"/>
    <w:rsid w:val="00F37FC8"/>
    <w:rsid w:val="00F400C8"/>
    <w:rsid w:val="00F40424"/>
    <w:rsid w:val="00F4302F"/>
    <w:rsid w:val="00F46A39"/>
    <w:rsid w:val="00F46E16"/>
    <w:rsid w:val="00F50439"/>
    <w:rsid w:val="00F530AE"/>
    <w:rsid w:val="00F55174"/>
    <w:rsid w:val="00F55F60"/>
    <w:rsid w:val="00F56A22"/>
    <w:rsid w:val="00F57A11"/>
    <w:rsid w:val="00F7321E"/>
    <w:rsid w:val="00F75065"/>
    <w:rsid w:val="00F76019"/>
    <w:rsid w:val="00F80CAC"/>
    <w:rsid w:val="00F80E1B"/>
    <w:rsid w:val="00F83092"/>
    <w:rsid w:val="00F84C44"/>
    <w:rsid w:val="00F85171"/>
    <w:rsid w:val="00F86458"/>
    <w:rsid w:val="00F864E2"/>
    <w:rsid w:val="00F91DDD"/>
    <w:rsid w:val="00F94FB4"/>
    <w:rsid w:val="00FA13DC"/>
    <w:rsid w:val="00FA1500"/>
    <w:rsid w:val="00FA27F4"/>
    <w:rsid w:val="00FB2B2A"/>
    <w:rsid w:val="00FB50ED"/>
    <w:rsid w:val="00FC336C"/>
    <w:rsid w:val="00FC7C47"/>
    <w:rsid w:val="00FD32EF"/>
    <w:rsid w:val="00FD62A1"/>
    <w:rsid w:val="00FD7882"/>
    <w:rsid w:val="00FE103C"/>
    <w:rsid w:val="00FE2B3C"/>
    <w:rsid w:val="00FE3E25"/>
    <w:rsid w:val="00FE586F"/>
    <w:rsid w:val="00FE5B73"/>
    <w:rsid w:val="00FF005B"/>
    <w:rsid w:val="00FF5014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customStyle="1" w:styleId="ZkladntextIMP">
    <w:name w:val="Základní text_IMP"/>
    <w:basedOn w:val="Normlny"/>
    <w:rsid w:val="009078D9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DF6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6BEB"/>
  </w:style>
  <w:style w:type="paragraph" w:styleId="Pta">
    <w:name w:val="footer"/>
    <w:basedOn w:val="Normlny"/>
    <w:link w:val="PtaChar"/>
    <w:uiPriority w:val="99"/>
    <w:unhideWhenUsed/>
    <w:rsid w:val="00DF6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6BEB"/>
  </w:style>
  <w:style w:type="paragraph" w:styleId="Zkladntext">
    <w:name w:val="Body Text"/>
    <w:basedOn w:val="Normlny"/>
    <w:link w:val="ZkladntextChar"/>
    <w:rsid w:val="008B192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B1929"/>
    <w:rPr>
      <w:rFonts w:ascii="Times New Roman" w:eastAsia="Times New Roman" w:hAnsi="Times New Roman" w:cs="Times New Roman"/>
      <w:sz w:val="26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2918A3"/>
    <w:rPr>
      <w:i/>
      <w:iCs/>
    </w:rPr>
  </w:style>
  <w:style w:type="character" w:styleId="Siln">
    <w:name w:val="Strong"/>
    <w:basedOn w:val="Predvolenpsmoodseku"/>
    <w:uiPriority w:val="22"/>
    <w:qFormat/>
    <w:rsid w:val="002918A3"/>
    <w:rPr>
      <w:b/>
      <w:bCs/>
    </w:rPr>
  </w:style>
  <w:style w:type="paragraph" w:styleId="Bezriadkovania">
    <w:name w:val="No Spacing"/>
    <w:uiPriority w:val="99"/>
    <w:qFormat/>
    <w:rsid w:val="00EF0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unhideWhenUsed/>
    <w:rsid w:val="00A95E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95E77"/>
    <w:rPr>
      <w:sz w:val="16"/>
      <w:szCs w:val="16"/>
    </w:rPr>
  </w:style>
  <w:style w:type="table" w:styleId="Tabukasozoznamom1svetlzvraznenie1">
    <w:name w:val="List Table 1 Light Accent 1"/>
    <w:basedOn w:val="Normlnatabuka"/>
    <w:uiPriority w:val="46"/>
    <w:rsid w:val="00D5327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kasmriekou1svetl">
    <w:name w:val="Grid Table 1 Light"/>
    <w:basedOn w:val="Normlnatabuka"/>
    <w:uiPriority w:val="46"/>
    <w:rsid w:val="007E4F5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5">
    <w:name w:val="Grid Table 1 Light Accent 5"/>
    <w:basedOn w:val="Normlnatabuka"/>
    <w:uiPriority w:val="46"/>
    <w:rsid w:val="007E4F5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Obyajntabuka1">
    <w:name w:val="Plain Table 1"/>
    <w:basedOn w:val="Normlnatabuka"/>
    <w:uiPriority w:val="41"/>
    <w:rsid w:val="007E4F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dlovsky.MUSL\Desktop\Dokumenty%20HKM_agenda\ROZPO&#268;TY\Z&#225;vere&#269;n&#253;%20&#250;&#269;et%20a%20VS%20r.%202019\moje%20stanovisko\Stanovisko%20HK%20k%20plneniu%20PRM%20za%20rok_2019_v&#253;po&#269;t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dlovsky.MUSL\Desktop\Dokumenty%20HKM_agenda\ROZPO&#268;TY\Z&#225;vere&#269;n&#253;%20&#250;&#269;et%20a%20VS%20r.%202019\moje%20stanovisko\Stanovisko%20HK%20k%20plneniu%20PRM%20za%20rok_2019_v&#253;po&#269;t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/>
              <a:t>Vývoj príjmov v rokoch 2014 - 2019 v členení na bežné (rad1) a kapitálové príjmy (rad2)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'Bežné a kap.výdavky'!$A$43</c:f>
              <c:strCache>
                <c:ptCount val="1"/>
                <c:pt idx="0">
                  <c:v>Bežné príjmy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'Bežné a kap.výdavky'!$J$42:$U$42</c:f>
              <c:strCache>
                <c:ptCount val="12"/>
                <c:pt idx="0">
                  <c:v>Rozpočet 2014</c:v>
                </c:pt>
                <c:pt idx="1">
                  <c:v>Skutočnosť 2014</c:v>
                </c:pt>
                <c:pt idx="2">
                  <c:v>Rozpočet 2015</c:v>
                </c:pt>
                <c:pt idx="3">
                  <c:v>Skutočnosť 2015</c:v>
                </c:pt>
                <c:pt idx="4">
                  <c:v>Rozpočet 2016</c:v>
                </c:pt>
                <c:pt idx="5">
                  <c:v>Skutočnosť 2016</c:v>
                </c:pt>
                <c:pt idx="6">
                  <c:v>Rozpočet 2017</c:v>
                </c:pt>
                <c:pt idx="7">
                  <c:v>Skutočnosť 2017</c:v>
                </c:pt>
                <c:pt idx="8">
                  <c:v>Rozpočet 2018</c:v>
                </c:pt>
                <c:pt idx="9">
                  <c:v>Skutočnosť 2018</c:v>
                </c:pt>
                <c:pt idx="10">
                  <c:v>Rozpočet 2019</c:v>
                </c:pt>
                <c:pt idx="11">
                  <c:v>Skutočnosť 2019</c:v>
                </c:pt>
              </c:strCache>
            </c:strRef>
          </c:cat>
          <c:val>
            <c:numRef>
              <c:f>'Bežné a kap.výdavky'!$J$43:$U$43</c:f>
              <c:numCache>
                <c:formatCode>#,##0</c:formatCode>
                <c:ptCount val="12"/>
                <c:pt idx="0">
                  <c:v>7985120</c:v>
                </c:pt>
                <c:pt idx="1">
                  <c:v>8313501</c:v>
                </c:pt>
                <c:pt idx="2">
                  <c:v>8289708</c:v>
                </c:pt>
                <c:pt idx="3">
                  <c:v>8931921</c:v>
                </c:pt>
                <c:pt idx="4">
                  <c:v>9936616</c:v>
                </c:pt>
                <c:pt idx="5">
                  <c:v>9868401</c:v>
                </c:pt>
                <c:pt idx="6">
                  <c:v>10682540</c:v>
                </c:pt>
                <c:pt idx="7">
                  <c:v>10562175</c:v>
                </c:pt>
                <c:pt idx="8">
                  <c:v>12248955</c:v>
                </c:pt>
                <c:pt idx="9">
                  <c:v>12038106</c:v>
                </c:pt>
                <c:pt idx="10">
                  <c:v>13643754</c:v>
                </c:pt>
                <c:pt idx="11">
                  <c:v>13487203</c:v>
                </c:pt>
              </c:numCache>
            </c:numRef>
          </c:val>
        </c:ser>
        <c:ser>
          <c:idx val="1"/>
          <c:order val="1"/>
          <c:tx>
            <c:strRef>
              <c:f>'Bežné a kap.výdavky'!$A$44</c:f>
              <c:strCache>
                <c:ptCount val="1"/>
                <c:pt idx="0">
                  <c:v>Kapitálové príjmy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'Bežné a kap.výdavky'!$J$42:$U$42</c:f>
              <c:strCache>
                <c:ptCount val="12"/>
                <c:pt idx="0">
                  <c:v>Rozpočet 2014</c:v>
                </c:pt>
                <c:pt idx="1">
                  <c:v>Skutočnosť 2014</c:v>
                </c:pt>
                <c:pt idx="2">
                  <c:v>Rozpočet 2015</c:v>
                </c:pt>
                <c:pt idx="3">
                  <c:v>Skutočnosť 2015</c:v>
                </c:pt>
                <c:pt idx="4">
                  <c:v>Rozpočet 2016</c:v>
                </c:pt>
                <c:pt idx="5">
                  <c:v>Skutočnosť 2016</c:v>
                </c:pt>
                <c:pt idx="6">
                  <c:v>Rozpočet 2017</c:v>
                </c:pt>
                <c:pt idx="7">
                  <c:v>Skutočnosť 2017</c:v>
                </c:pt>
                <c:pt idx="8">
                  <c:v>Rozpočet 2018</c:v>
                </c:pt>
                <c:pt idx="9">
                  <c:v>Skutočnosť 2018</c:v>
                </c:pt>
                <c:pt idx="10">
                  <c:v>Rozpočet 2019</c:v>
                </c:pt>
                <c:pt idx="11">
                  <c:v>Skutočnosť 2019</c:v>
                </c:pt>
              </c:strCache>
            </c:strRef>
          </c:cat>
          <c:val>
            <c:numRef>
              <c:f>'Bežné a kap.výdavky'!$J$44:$U$44</c:f>
              <c:numCache>
                <c:formatCode>#,##0</c:formatCode>
                <c:ptCount val="12"/>
                <c:pt idx="0">
                  <c:v>337970</c:v>
                </c:pt>
                <c:pt idx="1">
                  <c:v>659635</c:v>
                </c:pt>
                <c:pt idx="2">
                  <c:v>821556</c:v>
                </c:pt>
                <c:pt idx="3">
                  <c:v>460765</c:v>
                </c:pt>
                <c:pt idx="4">
                  <c:v>1660261</c:v>
                </c:pt>
                <c:pt idx="5">
                  <c:v>1439248</c:v>
                </c:pt>
                <c:pt idx="6">
                  <c:v>317500</c:v>
                </c:pt>
                <c:pt idx="7">
                  <c:v>293792</c:v>
                </c:pt>
                <c:pt idx="8">
                  <c:v>1139258</c:v>
                </c:pt>
                <c:pt idx="9">
                  <c:v>911434</c:v>
                </c:pt>
                <c:pt idx="10">
                  <c:v>996016</c:v>
                </c:pt>
                <c:pt idx="11">
                  <c:v>948340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1689216"/>
        <c:axId val="251686416"/>
      </c:barChart>
      <c:catAx>
        <c:axId val="251689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51686416"/>
        <c:crosses val="autoZero"/>
        <c:auto val="1"/>
        <c:lblAlgn val="ctr"/>
        <c:lblOffset val="100"/>
        <c:noMultiLvlLbl val="0"/>
      </c:catAx>
      <c:valAx>
        <c:axId val="251686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51689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 b="1" i="0" cap="small" baseline="0">
                <a:effectLst/>
              </a:rPr>
              <a:t>Vývoj výdavkov v rokoch 2014 – 2019 v členení na bežné výdavky (rad1) a kapitálové výdavky (rad2)</a:t>
            </a:r>
            <a:endParaRPr lang="sk-SK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'Bežné a kap.výdavky'!$J$16:$U$16</c:f>
              <c:strCache>
                <c:ptCount val="12"/>
                <c:pt idx="0">
                  <c:v>Rozpočet 2014</c:v>
                </c:pt>
                <c:pt idx="1">
                  <c:v>Skutočnosť 2014</c:v>
                </c:pt>
                <c:pt idx="2">
                  <c:v>Rozpočet 2015</c:v>
                </c:pt>
                <c:pt idx="3">
                  <c:v>Skutočnosť 2015</c:v>
                </c:pt>
                <c:pt idx="4">
                  <c:v>Rozpočet 2016</c:v>
                </c:pt>
                <c:pt idx="5">
                  <c:v>Skutočnosť 2016</c:v>
                </c:pt>
                <c:pt idx="6">
                  <c:v>Rozpočet 2017</c:v>
                </c:pt>
                <c:pt idx="7">
                  <c:v>Skutočnosť 2017</c:v>
                </c:pt>
                <c:pt idx="8">
                  <c:v>Rozpočet 2018</c:v>
                </c:pt>
                <c:pt idx="9">
                  <c:v>Skutočnosť 2018</c:v>
                </c:pt>
                <c:pt idx="10">
                  <c:v>Rozpočet 2019</c:v>
                </c:pt>
                <c:pt idx="11">
                  <c:v>Skutočnosť 2019</c:v>
                </c:pt>
              </c:strCache>
            </c:strRef>
          </c:cat>
          <c:val>
            <c:numRef>
              <c:f>'Bežné a kap.výdavky'!$J$17:$U$17</c:f>
              <c:numCache>
                <c:formatCode>#,##0</c:formatCode>
                <c:ptCount val="12"/>
                <c:pt idx="0">
                  <c:v>7660697</c:v>
                </c:pt>
                <c:pt idx="1">
                  <c:v>8057471</c:v>
                </c:pt>
                <c:pt idx="2">
                  <c:v>7866243</c:v>
                </c:pt>
                <c:pt idx="3">
                  <c:v>8134974</c:v>
                </c:pt>
                <c:pt idx="4">
                  <c:v>8268700</c:v>
                </c:pt>
                <c:pt idx="5">
                  <c:v>8780220</c:v>
                </c:pt>
                <c:pt idx="6">
                  <c:v>9014545</c:v>
                </c:pt>
                <c:pt idx="7">
                  <c:v>9741565</c:v>
                </c:pt>
                <c:pt idx="8">
                  <c:v>10942025</c:v>
                </c:pt>
                <c:pt idx="9">
                  <c:v>11357654</c:v>
                </c:pt>
                <c:pt idx="10">
                  <c:v>11110988</c:v>
                </c:pt>
                <c:pt idx="11">
                  <c:v>12164938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'Bežné a kap.výdavky'!$J$16:$U$16</c:f>
              <c:strCache>
                <c:ptCount val="12"/>
                <c:pt idx="0">
                  <c:v>Rozpočet 2014</c:v>
                </c:pt>
                <c:pt idx="1">
                  <c:v>Skutočnosť 2014</c:v>
                </c:pt>
                <c:pt idx="2">
                  <c:v>Rozpočet 2015</c:v>
                </c:pt>
                <c:pt idx="3">
                  <c:v>Skutočnosť 2015</c:v>
                </c:pt>
                <c:pt idx="4">
                  <c:v>Rozpočet 2016</c:v>
                </c:pt>
                <c:pt idx="5">
                  <c:v>Skutočnosť 2016</c:v>
                </c:pt>
                <c:pt idx="6">
                  <c:v>Rozpočet 2017</c:v>
                </c:pt>
                <c:pt idx="7">
                  <c:v>Skutočnosť 2017</c:v>
                </c:pt>
                <c:pt idx="8">
                  <c:v>Rozpočet 2018</c:v>
                </c:pt>
                <c:pt idx="9">
                  <c:v>Skutočnosť 2018</c:v>
                </c:pt>
                <c:pt idx="10">
                  <c:v>Rozpočet 2019</c:v>
                </c:pt>
                <c:pt idx="11">
                  <c:v>Skutočnosť 2019</c:v>
                </c:pt>
              </c:strCache>
            </c:strRef>
          </c:cat>
          <c:val>
            <c:numRef>
              <c:f>'Bežné a kap.výdavky'!$J$18:$U$18</c:f>
              <c:numCache>
                <c:formatCode>#,##0</c:formatCode>
                <c:ptCount val="12"/>
                <c:pt idx="0">
                  <c:v>804997</c:v>
                </c:pt>
                <c:pt idx="1">
                  <c:v>919305</c:v>
                </c:pt>
                <c:pt idx="2">
                  <c:v>1596640</c:v>
                </c:pt>
                <c:pt idx="3">
                  <c:v>1638309</c:v>
                </c:pt>
                <c:pt idx="4">
                  <c:v>918611</c:v>
                </c:pt>
                <c:pt idx="5">
                  <c:v>2367616</c:v>
                </c:pt>
                <c:pt idx="6">
                  <c:v>1143417</c:v>
                </c:pt>
                <c:pt idx="7">
                  <c:v>887656</c:v>
                </c:pt>
                <c:pt idx="8">
                  <c:v>1451017</c:v>
                </c:pt>
                <c:pt idx="9">
                  <c:v>2288322</c:v>
                </c:pt>
                <c:pt idx="10">
                  <c:v>1098561</c:v>
                </c:pt>
                <c:pt idx="11">
                  <c:v>2138489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1684736"/>
        <c:axId val="251683056"/>
      </c:barChart>
      <c:catAx>
        <c:axId val="25168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51683056"/>
        <c:crosses val="autoZero"/>
        <c:auto val="1"/>
        <c:lblAlgn val="ctr"/>
        <c:lblOffset val="100"/>
        <c:noMultiLvlLbl val="0"/>
      </c:catAx>
      <c:valAx>
        <c:axId val="25168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251684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F662D-D910-45E8-84B6-09E8D874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30</Pages>
  <Words>13514</Words>
  <Characters>77032</Characters>
  <Application>Microsoft Office Word</Application>
  <DocSecurity>0</DocSecurity>
  <Lines>641</Lines>
  <Paragraphs>180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82</cp:revision>
  <cp:lastPrinted>2020-04-22T09:05:00Z</cp:lastPrinted>
  <dcterms:created xsi:type="dcterms:W3CDTF">2020-03-23T08:33:00Z</dcterms:created>
  <dcterms:modified xsi:type="dcterms:W3CDTF">2020-04-22T09:06:00Z</dcterms:modified>
</cp:coreProperties>
</file>