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6A0" w:rsidRDefault="009436A0" w:rsidP="00706917">
      <w:pPr>
        <w:rPr>
          <w:b/>
          <w:i/>
        </w:rPr>
      </w:pPr>
      <w:r>
        <w:rPr>
          <w:b/>
          <w:i/>
        </w:rPr>
        <w:t>PRÍLOHA Č.</w:t>
      </w:r>
      <w:r w:rsidR="00774601">
        <w:rPr>
          <w:b/>
          <w:i/>
        </w:rPr>
        <w:t xml:space="preserve"> </w:t>
      </w:r>
      <w:bookmarkStart w:id="0" w:name="_GoBack"/>
      <w:bookmarkEnd w:id="0"/>
      <w:r>
        <w:rPr>
          <w:b/>
          <w:i/>
        </w:rPr>
        <w:t>3</w:t>
      </w:r>
    </w:p>
    <w:p w:rsidR="009436A0" w:rsidRDefault="009436A0" w:rsidP="00706917">
      <w:pPr>
        <w:rPr>
          <w:b/>
          <w:i/>
        </w:rPr>
      </w:pPr>
    </w:p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FA5E40">
        <w:rPr>
          <w:b/>
          <w:i/>
        </w:rPr>
        <w:t>..................</w:t>
      </w:r>
    </w:p>
    <w:p w:rsidR="00706917" w:rsidRDefault="00706917" w:rsidP="00706917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>é na webovom sídle mesta dňa :</w:t>
      </w:r>
      <w:r w:rsidR="00465503">
        <w:rPr>
          <w:b/>
          <w:i/>
        </w:rPr>
        <w:t xml:space="preserve"> </w:t>
      </w:r>
      <w:r w:rsidR="00FA5E40">
        <w:rPr>
          <w:b/>
          <w:i/>
        </w:rPr>
        <w:t>................</w:t>
      </w:r>
    </w:p>
    <w:p w:rsidR="00706917" w:rsidRDefault="00706917" w:rsidP="00706917">
      <w:pPr>
        <w:jc w:val="center"/>
        <w:rPr>
          <w:b/>
        </w:rPr>
      </w:pP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 xml:space="preserve">esta Stará Ľubovňa a uznesením č. </w:t>
      </w:r>
      <w:r w:rsidR="00FA5E40">
        <w:t>........</w:t>
      </w:r>
      <w:r w:rsidR="00B92DC8">
        <w:t xml:space="preserve"> </w:t>
      </w:r>
      <w:r w:rsidR="006E05E8">
        <w:t xml:space="preserve">Mestského zastupiteľstva mesta Stará Ľubovňa č. </w:t>
      </w:r>
      <w:r w:rsidR="00FA5E40">
        <w:t>..............</w:t>
      </w:r>
      <w:r w:rsidR="006E05E8">
        <w:t xml:space="preserve"> zo dňa </w:t>
      </w:r>
      <w:r w:rsidR="00FA5E40">
        <w:t>...............</w:t>
      </w:r>
      <w:r w:rsidR="00B92DC8">
        <w:t>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D5035C" w:rsidRDefault="00D5035C" w:rsidP="00D5035C">
      <w:pPr>
        <w:tabs>
          <w:tab w:val="left" w:pos="360"/>
        </w:tabs>
        <w:jc w:val="both"/>
      </w:pPr>
      <w:r>
        <w:t xml:space="preserve">Predmetom obchodnej verejnej súťaže je výber najvhodnejšej  ponuky  na kúpu nehnuteľností </w:t>
      </w:r>
      <w:r w:rsidRPr="002812E7">
        <w:t xml:space="preserve">tak </w:t>
      </w:r>
      <w:r w:rsidRPr="00D5035C">
        <w:rPr>
          <w:b/>
        </w:rPr>
        <w:t xml:space="preserve">„ako stoja a ležia“ </w:t>
      </w:r>
      <w:r>
        <w:t>a uzatvorenie kúpnej zmluvy na nehnuteľný majetok mesta a to:</w:t>
      </w:r>
    </w:p>
    <w:p w:rsidR="00D5035C" w:rsidRDefault="00D5035C" w:rsidP="00D5035C">
      <w:pPr>
        <w:tabs>
          <w:tab w:val="left" w:pos="360"/>
        </w:tabs>
        <w:jc w:val="both"/>
      </w:pPr>
    </w:p>
    <w:p w:rsidR="00D5035C" w:rsidRDefault="000D7D4A" w:rsidP="00D5035C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FA5E40">
        <w:t>Obrancov mieru,</w:t>
      </w:r>
      <w:r w:rsidR="00F31373">
        <w:t xml:space="preserve"> Stará Ľubovňa</w:t>
      </w:r>
      <w:r w:rsidR="00D10C6C">
        <w:t xml:space="preserve"> </w:t>
      </w:r>
      <w:r>
        <w:t xml:space="preserve"> – v  k. ú. Stará Ľubovňa</w:t>
      </w:r>
      <w:r w:rsidR="00D5035C">
        <w:rPr>
          <w:b/>
        </w:rPr>
        <w:t>:</w:t>
      </w:r>
    </w:p>
    <w:p w:rsidR="00D5035C" w:rsidRPr="00D5035C" w:rsidRDefault="00D5035C" w:rsidP="00D5035C">
      <w:pPr>
        <w:ind w:left="720"/>
        <w:jc w:val="both"/>
        <w:rPr>
          <w:b/>
        </w:rPr>
      </w:pPr>
    </w:p>
    <w:p w:rsidR="00581D98" w:rsidRPr="004D3F50" w:rsidRDefault="00581D98" w:rsidP="00581D98">
      <w:pPr>
        <w:pStyle w:val="PredformtovanHTML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STAVBA</w:t>
      </w:r>
      <w:r w:rsidR="00E5311C">
        <w:rPr>
          <w:rFonts w:ascii="Times New Roman" w:hAnsi="Times New Roman"/>
          <w:b/>
          <w:sz w:val="24"/>
          <w:szCs w:val="24"/>
        </w:rPr>
        <w:t>,</w:t>
      </w:r>
      <w:r w:rsidRPr="0052400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400E">
        <w:rPr>
          <w:rFonts w:ascii="Times New Roman" w:hAnsi="Times New Roman"/>
          <w:b/>
          <w:sz w:val="24"/>
          <w:szCs w:val="24"/>
        </w:rPr>
        <w:t>súp</w:t>
      </w:r>
      <w:proofErr w:type="spellEnd"/>
      <w:r w:rsidRPr="0052400E">
        <w:rPr>
          <w:rFonts w:ascii="Times New Roman" w:hAnsi="Times New Roman"/>
          <w:b/>
          <w:sz w:val="24"/>
          <w:szCs w:val="24"/>
        </w:rPr>
        <w:t>. č. 524</w:t>
      </w:r>
      <w:r>
        <w:rPr>
          <w:rFonts w:ascii="Times New Roman" w:hAnsi="Times New Roman"/>
          <w:sz w:val="24"/>
          <w:szCs w:val="24"/>
        </w:rPr>
        <w:t xml:space="preserve">, Obrancov mieru 22 a 24, 064 01 Stará Ľubovňa, postavená na pozemku p. č. CKN 909, druh stavby: budova, LV č. 3696 v k. ú Stará Ľubovňa, ktorej súčasťou sú </w:t>
      </w:r>
      <w:r w:rsidRPr="004D3F50">
        <w:rPr>
          <w:rFonts w:ascii="Times New Roman" w:hAnsi="Times New Roman"/>
          <w:sz w:val="24"/>
          <w:szCs w:val="24"/>
        </w:rPr>
        <w:t xml:space="preserve">inžinierske siete </w:t>
      </w:r>
      <w:r>
        <w:rPr>
          <w:rFonts w:ascii="Times New Roman" w:hAnsi="Times New Roman"/>
          <w:sz w:val="24"/>
          <w:szCs w:val="24"/>
        </w:rPr>
        <w:t>–</w:t>
      </w:r>
      <w:r w:rsidRPr="004D3F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pripojenie do distribučnej sústavy VSD, pripojenie na verejný vodovod a verejnú kanalizáciu, bez plynovej prípojky.</w:t>
      </w:r>
    </w:p>
    <w:p w:rsidR="002812E7" w:rsidRDefault="00581D98" w:rsidP="00581D98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83203">
        <w:rPr>
          <w:rFonts w:ascii="Times New Roman" w:hAnsi="Times New Roman" w:cs="Times New Roman"/>
          <w:sz w:val="24"/>
          <w:szCs w:val="24"/>
        </w:rPr>
        <w:t xml:space="preserve"> </w:t>
      </w:r>
      <w:r w:rsidRPr="00A83203">
        <w:rPr>
          <w:rFonts w:ascii="Times New Roman" w:hAnsi="Times New Roman" w:cs="Times New Roman"/>
          <w:b/>
          <w:sz w:val="24"/>
          <w:szCs w:val="24"/>
        </w:rPr>
        <w:t>POZEMOK</w:t>
      </w:r>
      <w:r w:rsidRPr="00A832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p. č.</w:t>
      </w:r>
      <w:r w:rsidRPr="00A83203">
        <w:rPr>
          <w:rFonts w:ascii="Times New Roman" w:hAnsi="Times New Roman" w:cs="Times New Roman"/>
          <w:sz w:val="24"/>
          <w:szCs w:val="24"/>
        </w:rPr>
        <w:t xml:space="preserve"> CKN č. 909, o výmere 494 m², druh pozemku zastavané plochy a nádvoria, LV č. 3696 v k. ú. Stará Ľubovňa, spôsob využívania: pozemok, na ktorom je postavená nebytová budova označená súpisným číslom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81D98" w:rsidRDefault="00581D98" w:rsidP="00581D98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203">
        <w:rPr>
          <w:rFonts w:ascii="Times New Roman" w:hAnsi="Times New Roman" w:cs="Times New Roman"/>
          <w:sz w:val="24"/>
          <w:szCs w:val="24"/>
        </w:rPr>
        <w:t xml:space="preserve">spolu za cenu minimálne vo výške </w:t>
      </w:r>
      <w:r>
        <w:rPr>
          <w:rFonts w:ascii="Times New Roman" w:hAnsi="Times New Roman" w:cs="Times New Roman"/>
          <w:b/>
          <w:sz w:val="24"/>
          <w:szCs w:val="24"/>
        </w:rPr>
        <w:t>499 000</w:t>
      </w:r>
      <w:r w:rsidRPr="00A83203">
        <w:rPr>
          <w:rFonts w:ascii="Times New Roman" w:hAnsi="Times New Roman" w:cs="Times New Roman"/>
          <w:b/>
          <w:sz w:val="24"/>
          <w:szCs w:val="24"/>
        </w:rPr>
        <w:t>,-- €</w:t>
      </w:r>
      <w:r w:rsidRPr="00A832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83203">
        <w:rPr>
          <w:rFonts w:ascii="Times New Roman" w:hAnsi="Times New Roman" w:cs="Times New Roman"/>
          <w:sz w:val="24"/>
          <w:szCs w:val="24"/>
        </w:rPr>
        <w:t xml:space="preserve">výška </w:t>
      </w:r>
      <w:r w:rsidR="002812E7">
        <w:rPr>
          <w:rFonts w:ascii="Times New Roman" w:hAnsi="Times New Roman" w:cs="Times New Roman"/>
          <w:sz w:val="24"/>
          <w:szCs w:val="24"/>
        </w:rPr>
        <w:t xml:space="preserve">finančnej </w:t>
      </w:r>
      <w:r w:rsidRPr="00A83203">
        <w:rPr>
          <w:rFonts w:ascii="Times New Roman" w:hAnsi="Times New Roman" w:cs="Times New Roman"/>
          <w:sz w:val="24"/>
          <w:szCs w:val="24"/>
        </w:rPr>
        <w:t xml:space="preserve">zábezpeky </w:t>
      </w:r>
      <w:r>
        <w:rPr>
          <w:rFonts w:ascii="Times New Roman" w:hAnsi="Times New Roman" w:cs="Times New Roman"/>
          <w:sz w:val="24"/>
          <w:szCs w:val="24"/>
        </w:rPr>
        <w:t>14 970</w:t>
      </w:r>
      <w:r w:rsidRPr="00A83203">
        <w:rPr>
          <w:rFonts w:ascii="Times New Roman" w:hAnsi="Times New Roman" w:cs="Times New Roman"/>
          <w:sz w:val="24"/>
          <w:szCs w:val="24"/>
        </w:rPr>
        <w:t>,-- €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83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D98" w:rsidRDefault="00581D98" w:rsidP="00581D98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06381684"/>
      <w:r>
        <w:rPr>
          <w:rFonts w:ascii="Times New Roman" w:hAnsi="Times New Roman" w:cs="Times New Roman"/>
          <w:sz w:val="24"/>
          <w:szCs w:val="24"/>
        </w:rPr>
        <w:t xml:space="preserve">Min. cena za nehnuteľnosti bola </w:t>
      </w:r>
      <w:r w:rsidRPr="00A83203">
        <w:rPr>
          <w:rFonts w:ascii="Times New Roman" w:hAnsi="Times New Roman" w:cs="Times New Roman"/>
          <w:sz w:val="24"/>
          <w:szCs w:val="24"/>
        </w:rPr>
        <w:t>stanoven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A83203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A83203">
        <w:rPr>
          <w:rFonts w:ascii="Times New Roman" w:hAnsi="Times New Roman" w:cs="Times New Roman"/>
          <w:sz w:val="24"/>
          <w:szCs w:val="24"/>
        </w:rPr>
        <w:t xml:space="preserve">Znaleckým posudkom č. 115/2017 zo dňa 14.07.2017 vyhotovený Ing. Jozefom </w:t>
      </w:r>
      <w:proofErr w:type="spellStart"/>
      <w:r w:rsidRPr="00A83203">
        <w:rPr>
          <w:rFonts w:ascii="Times New Roman" w:hAnsi="Times New Roman" w:cs="Times New Roman"/>
          <w:sz w:val="24"/>
          <w:szCs w:val="24"/>
        </w:rPr>
        <w:t>Arendáčom</w:t>
      </w:r>
      <w:proofErr w:type="spellEnd"/>
      <w:r w:rsidRPr="00A83203">
        <w:rPr>
          <w:rFonts w:ascii="Times New Roman" w:hAnsi="Times New Roman" w:cs="Times New Roman"/>
          <w:sz w:val="24"/>
          <w:szCs w:val="24"/>
        </w:rPr>
        <w:t>, č. 541, 065 11 Nová Ľubovňa, znalcom v odbore stavebníctvo, odvetvie pozemné stavby a odhad hodnoty nehnuteľnost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A83203">
        <w:rPr>
          <w:rFonts w:ascii="Times New Roman" w:hAnsi="Times New Roman" w:cs="Times New Roman"/>
          <w:sz w:val="24"/>
          <w:szCs w:val="24"/>
        </w:rPr>
        <w:t>, ev. č. 910042</w:t>
      </w:r>
      <w:r>
        <w:rPr>
          <w:rFonts w:ascii="Times New Roman" w:hAnsi="Times New Roman" w:cs="Times New Roman"/>
          <w:sz w:val="24"/>
          <w:szCs w:val="24"/>
        </w:rPr>
        <w:t xml:space="preserve"> vo výške 440 000,--€.</w:t>
      </w:r>
    </w:p>
    <w:p w:rsidR="0067051D" w:rsidRDefault="0067051D" w:rsidP="0067051D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</w:p>
    <w:p w:rsidR="000D7D4A" w:rsidRDefault="000D7D4A" w:rsidP="0067051D">
      <w:pPr>
        <w:suppressAutoHyphens/>
        <w:autoSpaceDN w:val="0"/>
        <w:jc w:val="center"/>
        <w:textAlignment w:val="baseline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D5035C">
        <w:rPr>
          <w:b/>
        </w:rPr>
        <w:t>01.03.2018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od </w:t>
      </w:r>
      <w:r w:rsidR="00B92DC8">
        <w:rPr>
          <w:b/>
        </w:rPr>
        <w:t>pondelka</w:t>
      </w:r>
      <w:r w:rsidRPr="00012F3B">
        <w:t xml:space="preserve"> do </w:t>
      </w:r>
      <w:r w:rsidR="00B92DC8">
        <w:rPr>
          <w:b/>
        </w:rPr>
        <w:t>piatku</w:t>
      </w:r>
      <w:r w:rsidR="00F31373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D5035C">
        <w:rPr>
          <w:b/>
        </w:rPr>
        <w:t>30.04.2018</w:t>
      </w:r>
      <w:r w:rsidR="00B92DC8">
        <w:rPr>
          <w:b/>
        </w:rPr>
        <w:t xml:space="preserve">  </w:t>
      </w:r>
      <w:r w:rsidRPr="00012F3B">
        <w:rPr>
          <w:b/>
        </w:rPr>
        <w:t xml:space="preserve">do </w:t>
      </w:r>
      <w:r w:rsidR="00D5035C">
        <w:rPr>
          <w:b/>
        </w:rPr>
        <w:t>12.00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FA5E40" w:rsidRPr="00940CD2" w:rsidRDefault="000D7D4A" w:rsidP="00940CD2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lastRenderedPageBreak/>
        <w:t>Uzatvorenie kúpnych zmlúv do 30 dní od vyhodnotenia návrhov komisiou.</w:t>
      </w:r>
    </w:p>
    <w:p w:rsidR="009436A0" w:rsidRDefault="009436A0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D5035C">
        <w:t xml:space="preserve">01.03.2018 </w:t>
      </w:r>
      <w:r w:rsidR="0056693B">
        <w:t>a v regionálnej tlači.</w:t>
      </w:r>
    </w:p>
    <w:p w:rsidR="0067051D" w:rsidRPr="00012F3B" w:rsidRDefault="000D7D4A" w:rsidP="0067051D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>Navrhovateľ môže predložiť najviac jeden návrh. Ak podá navrhovateľ viac návrhov k jednému bodu,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301247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>upiteľstva, znaleckého posudku</w:t>
      </w:r>
      <w:r>
        <w:t>, 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Navrhovateľ podaním ponuky potvrdzuje, že sa s predmetom obchodnej verejnej súťaže oboznámil, je mu stav predmetnej nehnuteľnosti dostatočne známy a taktiež bol ešte pred ukončením súťaže podrobne oboznámený s možnosťami budúceho využitia nehnuteľností.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684FBF" w:rsidRDefault="00684FBF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684FBF">
        <w:t xml:space="preserve">Mesto Stará Ľubovňa ako vlastník nehnuteľnosti – pozemku p. č. </w:t>
      </w:r>
      <w:r w:rsidR="0017614A" w:rsidRPr="00684FBF">
        <w:t xml:space="preserve"> CKN 910/49</w:t>
      </w:r>
      <w:r w:rsidR="00D57E60" w:rsidRPr="00684FBF">
        <w:t>,</w:t>
      </w:r>
      <w:r w:rsidR="0017614A" w:rsidRPr="00684FBF">
        <w:t xml:space="preserve"> </w:t>
      </w:r>
      <w:r w:rsidR="00D57E60" w:rsidRPr="00684FBF">
        <w:t xml:space="preserve">o celkovej výmere </w:t>
      </w:r>
      <w:r w:rsidR="0017614A" w:rsidRPr="00684FBF">
        <w:t>1727</w:t>
      </w:r>
      <w:r w:rsidR="00D57E60" w:rsidRPr="00684FBF">
        <w:t xml:space="preserve"> m², </w:t>
      </w:r>
      <w:r w:rsidRPr="00684FBF">
        <w:t xml:space="preserve">zastavané plochy a nádvoria, </w:t>
      </w:r>
      <w:r w:rsidR="00D57E60" w:rsidRPr="00684FBF">
        <w:t xml:space="preserve">LV č. 3696 v k. ú. Stará Ľubovňa </w:t>
      </w:r>
      <w:r w:rsidRPr="00684FBF">
        <w:t>sa zaväzuje prenajať časť vyššie uvedeného pozemku na účely zriadenia parkovacích miest podľa počtu vytvorených bytových jednotiek max. 24 parkovacích miest na dobu určitú, t. j. 30 rokov za 1,--€/rok.</w:t>
      </w:r>
    </w:p>
    <w:p w:rsidR="002812E7" w:rsidRDefault="002812E7" w:rsidP="002812E7">
      <w:pPr>
        <w:tabs>
          <w:tab w:val="left" w:pos="360"/>
        </w:tabs>
        <w:suppressAutoHyphens/>
        <w:jc w:val="both"/>
      </w:pPr>
      <w:r>
        <w:t xml:space="preserve">18. </w:t>
      </w:r>
      <w:r>
        <w:t xml:space="preserve">Kupujúci sa zaväzuje využiť nehnuteľnosť – STAVBU, </w:t>
      </w:r>
      <w:proofErr w:type="spellStart"/>
      <w:r>
        <w:t>súp</w:t>
      </w:r>
      <w:proofErr w:type="spellEnd"/>
      <w:r>
        <w:t xml:space="preserve">. č. 524, Obrancov mieru 22 a 24, </w:t>
      </w:r>
    </w:p>
    <w:p w:rsidR="002812E7" w:rsidRPr="00684FBF" w:rsidRDefault="002812E7" w:rsidP="002812E7">
      <w:pPr>
        <w:tabs>
          <w:tab w:val="left" w:pos="360"/>
        </w:tabs>
        <w:suppressAutoHyphens/>
        <w:jc w:val="both"/>
      </w:pPr>
      <w:r>
        <w:tab/>
      </w:r>
      <w:r>
        <w:t>064 01 Stará Ľubovňa na účely vybudovania bytových jednotiek.</w:t>
      </w:r>
    </w:p>
    <w:p w:rsidR="0067051D" w:rsidRDefault="0067051D" w:rsidP="00D57E60">
      <w:pPr>
        <w:tabs>
          <w:tab w:val="left" w:pos="360"/>
        </w:tabs>
        <w:rPr>
          <w:b/>
        </w:rPr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lastRenderedPageBreak/>
        <w:t>V prípade nedodržania stanovených lehôt zo strany víťaza súťaže</w:t>
      </w:r>
      <w:r w:rsidR="00B92DC8">
        <w:t xml:space="preserve"> vyhlasovateľ súťaže nebude viazaný povinnosťami vyplývajúcimi z tejto súťaže a bude oprávnený od prípadne už uzavretej kúpnej zmluvy odstúpiť a následne</w:t>
      </w:r>
      <w:r>
        <w:t xml:space="preserve"> 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0D7D4A" w:rsidRDefault="0067051D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</w:t>
      </w:r>
      <w:r w:rsidR="000D7D4A">
        <w:rPr>
          <w:szCs w:val="24"/>
        </w:rPr>
        <w:t xml:space="preserve">inančná zábezpeka </w:t>
      </w:r>
      <w:r>
        <w:rPr>
          <w:szCs w:val="24"/>
        </w:rPr>
        <w:t xml:space="preserve">sa </w:t>
      </w:r>
      <w:r w:rsidR="00B92DC8">
        <w:rPr>
          <w:szCs w:val="24"/>
        </w:rPr>
        <w:t>za</w:t>
      </w:r>
      <w:r w:rsidR="000D7D4A">
        <w:rPr>
          <w:szCs w:val="24"/>
        </w:rPr>
        <w:t>počítava pri realizácii kúpnej zmluvy do schválenej kúpnej ceny ako prvá splátka.</w:t>
      </w:r>
    </w:p>
    <w:p w:rsidR="00301247" w:rsidRPr="0075149F" w:rsidRDefault="000D7D4A" w:rsidP="0075149F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Ostatným neúspešným súťažiacim sa finančná zábezpeka vráti do 10 pracovných dní od vyhodnotenia súťaže</w:t>
      </w:r>
      <w:r w:rsidR="0075149F">
        <w:rPr>
          <w:szCs w:val="24"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:rsidR="0067051D" w:rsidRPr="0061389F" w:rsidRDefault="0067051D" w:rsidP="000D7D4A">
      <w:pPr>
        <w:pStyle w:val="Odsekzoznamu3"/>
        <w:widowControl/>
        <w:tabs>
          <w:tab w:val="left" w:pos="360"/>
        </w:tabs>
        <w:ind w:left="0"/>
        <w:jc w:val="both"/>
        <w:rPr>
          <w:szCs w:val="24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0D7D4A" w:rsidRDefault="000D7D4A" w:rsidP="000D7D4A">
      <w:pPr>
        <w:jc w:val="center"/>
        <w:rPr>
          <w:b/>
        </w:rPr>
      </w:pPr>
    </w:p>
    <w:p w:rsidR="0067051D" w:rsidRDefault="0067051D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 xml:space="preserve">NEOTVÁRAŤ - </w:t>
      </w:r>
      <w:r w:rsidR="0067051D">
        <w:rPr>
          <w:b/>
        </w:rPr>
        <w:t>NÁVRH NA ODKÚPENIE NEHNUTEĽNOSTÍ</w:t>
      </w:r>
      <w:r w:rsidR="008F4752">
        <w:rPr>
          <w:b/>
        </w:rPr>
        <w:t xml:space="preserve"> LOKALITA </w:t>
      </w:r>
      <w:r w:rsidR="00D10C6C">
        <w:rPr>
          <w:b/>
        </w:rPr>
        <w:t>OBRANCOV MIERU</w:t>
      </w:r>
      <w:r w:rsidR="008F4752">
        <w:rPr>
          <w:b/>
        </w:rPr>
        <w:t>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0D7D4A">
      <w:r>
        <w:t xml:space="preserve">Navrhovateľ na obálke ďalej uvedie </w:t>
      </w:r>
      <w:r>
        <w:rPr>
          <w:b/>
        </w:rPr>
        <w:t xml:space="preserve">názov nehnuteľnosti podľa čl. II ods. 1 týchto   </w:t>
      </w:r>
      <w:r>
        <w:rPr>
          <w:b/>
        </w:rPr>
        <w:tab/>
        <w:t xml:space="preserve">   podmienok </w:t>
      </w:r>
      <w:r w:rsidRPr="00633C1C">
        <w:t>(a jej poradie,</w:t>
      </w:r>
      <w:r>
        <w:rPr>
          <w:i/>
        </w:rPr>
        <w:t xml:space="preserve"> </w:t>
      </w:r>
      <w:r>
        <w:t>ak je viac nehnuteľností).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lastRenderedPageBreak/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 a poradie),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pPr>
        <w:jc w:val="both"/>
      </w:pPr>
    </w:p>
    <w:p w:rsidR="0067051D" w:rsidRDefault="0067051D" w:rsidP="000D7D4A">
      <w:pPr>
        <w:jc w:val="both"/>
      </w:pPr>
    </w:p>
    <w:p w:rsidR="000D7D4A" w:rsidRDefault="000D7D4A" w:rsidP="000D7D4A">
      <w:r>
        <w:t xml:space="preserve">V Starej Ľubovni  dňa </w:t>
      </w:r>
      <w:r w:rsidR="00D10C6C">
        <w:t>........................</w:t>
      </w:r>
    </w:p>
    <w:p w:rsidR="008F4752" w:rsidRDefault="009C61C9" w:rsidP="000D7D4A">
      <w:r>
        <w:t xml:space="preserve">Zvesené: </w:t>
      </w:r>
      <w:r w:rsidR="0067051D">
        <w:t>..................</w:t>
      </w:r>
    </w:p>
    <w:p w:rsidR="000D7D4A" w:rsidRDefault="000D7D4A" w:rsidP="000D7D4A"/>
    <w:p w:rsidR="0067051D" w:rsidRDefault="0067051D" w:rsidP="000D7D4A"/>
    <w:p w:rsidR="0067051D" w:rsidRDefault="0067051D" w:rsidP="000D7D4A"/>
    <w:p w:rsidR="0067051D" w:rsidRDefault="0067051D" w:rsidP="000D7D4A"/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B72" w:rsidRDefault="009D3B72">
      <w:r>
        <w:separator/>
      </w:r>
    </w:p>
  </w:endnote>
  <w:endnote w:type="continuationSeparator" w:id="0">
    <w:p w:rsidR="009D3B72" w:rsidRDefault="009D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601">
          <w:rPr>
            <w:noProof/>
          </w:rPr>
          <w:t>4</w:t>
        </w:r>
        <w:r>
          <w:fldChar w:fldCharType="end"/>
        </w:r>
      </w:p>
    </w:sdtContent>
  </w:sdt>
  <w:p w:rsidR="00A81A54" w:rsidRDefault="009D3B7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B72" w:rsidRDefault="009D3B72">
      <w:r>
        <w:separator/>
      </w:r>
    </w:p>
  </w:footnote>
  <w:footnote w:type="continuationSeparator" w:id="0">
    <w:p w:rsidR="009D3B72" w:rsidRDefault="009D3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036DA"/>
    <w:rsid w:val="00024080"/>
    <w:rsid w:val="00031855"/>
    <w:rsid w:val="00044306"/>
    <w:rsid w:val="000A01C7"/>
    <w:rsid w:val="000C42EE"/>
    <w:rsid w:val="000D1F71"/>
    <w:rsid w:val="000D7D4A"/>
    <w:rsid w:val="000F0F28"/>
    <w:rsid w:val="001125B2"/>
    <w:rsid w:val="00113210"/>
    <w:rsid w:val="00143C24"/>
    <w:rsid w:val="00153C59"/>
    <w:rsid w:val="0017559C"/>
    <w:rsid w:val="0017614A"/>
    <w:rsid w:val="00256A8E"/>
    <w:rsid w:val="0027742C"/>
    <w:rsid w:val="002812E7"/>
    <w:rsid w:val="00301247"/>
    <w:rsid w:val="003B33D1"/>
    <w:rsid w:val="00423F1C"/>
    <w:rsid w:val="00464BF1"/>
    <w:rsid w:val="00465503"/>
    <w:rsid w:val="0047038B"/>
    <w:rsid w:val="00477491"/>
    <w:rsid w:val="00490021"/>
    <w:rsid w:val="004B3B71"/>
    <w:rsid w:val="005103D1"/>
    <w:rsid w:val="00514E67"/>
    <w:rsid w:val="00527B0F"/>
    <w:rsid w:val="00555EC3"/>
    <w:rsid w:val="0056693B"/>
    <w:rsid w:val="00581D98"/>
    <w:rsid w:val="005A4D85"/>
    <w:rsid w:val="005B4E3E"/>
    <w:rsid w:val="005E64C3"/>
    <w:rsid w:val="00662122"/>
    <w:rsid w:val="0067051D"/>
    <w:rsid w:val="00684FBF"/>
    <w:rsid w:val="00691DFB"/>
    <w:rsid w:val="00695999"/>
    <w:rsid w:val="006E05E8"/>
    <w:rsid w:val="00706917"/>
    <w:rsid w:val="00742326"/>
    <w:rsid w:val="0075149F"/>
    <w:rsid w:val="0076437D"/>
    <w:rsid w:val="00774601"/>
    <w:rsid w:val="008605C4"/>
    <w:rsid w:val="008A1090"/>
    <w:rsid w:val="008A709E"/>
    <w:rsid w:val="008C0CD2"/>
    <w:rsid w:val="008D1070"/>
    <w:rsid w:val="008F4752"/>
    <w:rsid w:val="008F796E"/>
    <w:rsid w:val="0090153D"/>
    <w:rsid w:val="00940CD2"/>
    <w:rsid w:val="009436A0"/>
    <w:rsid w:val="00952BA3"/>
    <w:rsid w:val="009919BE"/>
    <w:rsid w:val="009976FF"/>
    <w:rsid w:val="009B168C"/>
    <w:rsid w:val="009C61C9"/>
    <w:rsid w:val="009D3B72"/>
    <w:rsid w:val="009F0872"/>
    <w:rsid w:val="00A20847"/>
    <w:rsid w:val="00A30841"/>
    <w:rsid w:val="00A324DF"/>
    <w:rsid w:val="00A63B1A"/>
    <w:rsid w:val="00A73181"/>
    <w:rsid w:val="00AE436E"/>
    <w:rsid w:val="00B92DC8"/>
    <w:rsid w:val="00BA65AE"/>
    <w:rsid w:val="00BA68F3"/>
    <w:rsid w:val="00BE36FD"/>
    <w:rsid w:val="00BE75BE"/>
    <w:rsid w:val="00C13F0F"/>
    <w:rsid w:val="00C23923"/>
    <w:rsid w:val="00C25C68"/>
    <w:rsid w:val="00C43E1B"/>
    <w:rsid w:val="00CE64F7"/>
    <w:rsid w:val="00CF5941"/>
    <w:rsid w:val="00D10C6C"/>
    <w:rsid w:val="00D5035C"/>
    <w:rsid w:val="00D57E60"/>
    <w:rsid w:val="00D84D44"/>
    <w:rsid w:val="00D96CD2"/>
    <w:rsid w:val="00DA52F2"/>
    <w:rsid w:val="00DE0755"/>
    <w:rsid w:val="00E140B1"/>
    <w:rsid w:val="00E5311C"/>
    <w:rsid w:val="00E93A93"/>
    <w:rsid w:val="00EC1287"/>
    <w:rsid w:val="00F134BB"/>
    <w:rsid w:val="00F31373"/>
    <w:rsid w:val="00F44242"/>
    <w:rsid w:val="00F95759"/>
    <w:rsid w:val="00FA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0976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9B168C"/>
    <w:rPr>
      <w:rFonts w:ascii="Consolas" w:hAnsi="Consolas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B168C"/>
    <w:rPr>
      <w:rFonts w:ascii="Consolas" w:eastAsia="Times New Roman" w:hAnsi="Consolas" w:cs="Times New Roman"/>
      <w:color w:val="000000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81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1389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46</cp:revision>
  <cp:lastPrinted>2018-02-15T08:41:00Z</cp:lastPrinted>
  <dcterms:created xsi:type="dcterms:W3CDTF">2017-02-08T12:02:00Z</dcterms:created>
  <dcterms:modified xsi:type="dcterms:W3CDTF">2018-02-15T09:49:00Z</dcterms:modified>
</cp:coreProperties>
</file>