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E3321D">
        <w:rPr>
          <w:b/>
          <w:i/>
        </w:rPr>
        <w:tab/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E3321D">
        <w:rPr>
          <w:b/>
          <w:i/>
        </w:rPr>
        <w:tab/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3321D">
        <w:t>..........</w:t>
      </w:r>
      <w:r w:rsidR="006E05E8">
        <w:t xml:space="preserve"> Mestského zastupiteľstva mesta Stará Ľubovňa č. </w:t>
      </w:r>
      <w:r w:rsidR="00E3321D">
        <w:t>.....................</w:t>
      </w:r>
      <w:r w:rsidR="006E05E8">
        <w:t xml:space="preserve"> zo dňa </w:t>
      </w:r>
      <w:r w:rsidR="00E3321D">
        <w:t>.......................</w:t>
      </w:r>
      <w:r w:rsidR="0038480B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hnuteľnost</w:t>
      </w:r>
      <w:r w:rsidR="00E3321D">
        <w:t>í</w:t>
      </w:r>
      <w:r w:rsidR="00C1229C">
        <w:t xml:space="preserve"> </w:t>
      </w:r>
      <w:r w:rsidR="00CD097A">
        <w:t xml:space="preserve">a </w:t>
      </w:r>
      <w:r w:rsidR="00CD097A">
        <w:rPr>
          <w:color w:val="auto"/>
        </w:rPr>
        <w:t xml:space="preserve">to technologických strojov, zariadení a chladiacej technológie ľadu na zimný štadión </w:t>
      </w:r>
      <w:r w:rsidR="00F26FCD">
        <w:rPr>
          <w:color w:val="auto"/>
        </w:rPr>
        <w:t>„tak ako stoja a ležia“</w:t>
      </w:r>
      <w:r w:rsidR="00CD097A" w:rsidRPr="00617372">
        <w:rPr>
          <w:color w:val="auto"/>
        </w:rPr>
        <w:t xml:space="preserve"> </w:t>
      </w:r>
      <w:r>
        <w:t>a uzatvorenie kúpnej zmluvy na hnuteľný majetok mesta a to:</w:t>
      </w:r>
    </w:p>
    <w:p w:rsidR="000D7D4A" w:rsidRDefault="000D7D4A" w:rsidP="000D7D4A">
      <w:pPr>
        <w:jc w:val="both"/>
        <w:rPr>
          <w:b/>
        </w:rPr>
      </w:pPr>
    </w:p>
    <w:p w:rsidR="0038480B" w:rsidRPr="00CD097A" w:rsidRDefault="00CD097A" w:rsidP="00801DE2">
      <w:pPr>
        <w:numPr>
          <w:ilvl w:val="0"/>
          <w:numId w:val="1"/>
        </w:numPr>
        <w:jc w:val="both"/>
        <w:rPr>
          <w:rFonts w:eastAsia="SimSun"/>
          <w:b/>
          <w:kern w:val="3"/>
          <w:lang w:eastAsia="ar-SA"/>
        </w:rPr>
      </w:pPr>
      <w:r>
        <w:t xml:space="preserve">Technologické stroje, zariadenia a chladiaca technológia ľadu na zimný štadión </w:t>
      </w:r>
    </w:p>
    <w:p w:rsidR="00CD097A" w:rsidRPr="00CD097A" w:rsidRDefault="00CD097A" w:rsidP="00CD097A">
      <w:pPr>
        <w:jc w:val="both"/>
        <w:rPr>
          <w:rFonts w:eastAsia="SimSun"/>
          <w:b/>
          <w:kern w:val="3"/>
          <w:lang w:eastAsia="ar-SA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640"/>
        <w:gridCol w:w="960"/>
      </w:tblGrid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/>
                <w:bCs/>
                <w:color w:val="auto"/>
                <w:kern w:val="3"/>
                <w:sz w:val="22"/>
                <w:szCs w:val="22"/>
                <w:lang w:eastAsia="ar-SA"/>
              </w:rPr>
              <w:t>ks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Tepelné čerpadlo ABC 200,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Qo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= 220,7 kW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S 200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Akumulačný zásobník FHFW 1500 l + izolácia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Expanzná nádoba Reflex G800 + príslušenstvo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Zásobník SF 1500 l + izolácia + plast + elektrický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dohrev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+ vybavenie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Reglyk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405 + 400 l nádrž + čerpadlo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ZARIADENIA TECHNOLÓGIE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Mantinelové hradenie typu KANADA 56x26 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Nadstavba ochranných bezpečnostných skiel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Krytie reklám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striedačiek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Ohradenie a zasklenie trestných lavíc a priestoru pre časomeračov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Lavice pre hráčov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Bránky pre ľadový hokej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SPOLU 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POTRUBIA A ARMATÚRY, IZOLÁCIE A MONTAŽNÝ MATERIÁL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 xml:space="preserve">Uzatváracia klapka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medziprírubová</w:t>
            </w:r>
            <w:proofErr w:type="spellEnd"/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Spätné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medziprírubové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klapky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Filtre – prírubové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Gumové kompenzátory + príruby DN 100 – 8ks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Poistný ventil – otvárací pretlak 3 bar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Uzatváracie guľové závitové ventily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Vypúšťací kohút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Elektromagnetický ventil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+ cievka 220/50 Hz/1f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oceľové DIN 2248:1981, mat. 11369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 sady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9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sád</w:t>
            </w:r>
            <w:proofErr w:type="spellEnd"/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7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sád</w:t>
            </w:r>
            <w:proofErr w:type="spellEnd"/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90° (r=1,5d)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52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51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Redukcie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125/100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gumenou vložkou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19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lastRenderedPageBreak/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23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15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Objímky s parotesnou vložkou K-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Flex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ST hr. 25 mm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8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32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Parotesná izolácia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Kaiflex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ST hr. 25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25x219 – rola hr. 25 mm 6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25x150 – rola hr. 25 mm 3 bal.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25x125 (25x140)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25x100 (25x114)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25x25 (25x35)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25x20 (25x28)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24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25x15 (25x22)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16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Potrubie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225x13,4 - 6ks 12 m potrubie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21112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Príruby pre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225x13,4/PN 16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Kolená 90 HDPE 100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225x13,4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7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400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Parotesná izolácia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Kaiflex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ST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25x225 - doska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100 m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Nemrznúca zmes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 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Nemrznúca zmes </w:t>
            </w:r>
            <w:proofErr w:type="spellStart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Polar</w:t>
            </w:r>
            <w:proofErr w:type="spellEnd"/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 xml:space="preserve"> EKO (99% PG)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9000 l</w:t>
            </w:r>
          </w:p>
        </w:tc>
      </w:tr>
      <w:tr w:rsidR="00F26FCD" w:rsidRPr="00F26FCD" w:rsidTr="00352620">
        <w:trPr>
          <w:trHeight w:val="300"/>
        </w:trPr>
        <w:tc>
          <w:tcPr>
            <w:tcW w:w="764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Kontajner IBC 1000 litrov</w:t>
            </w:r>
          </w:p>
        </w:tc>
        <w:tc>
          <w:tcPr>
            <w:tcW w:w="960" w:type="dxa"/>
            <w:noWrap/>
            <w:hideMark/>
          </w:tcPr>
          <w:p w:rsidR="00F26FCD" w:rsidRPr="00F26FCD" w:rsidRDefault="00F26FCD" w:rsidP="00F26FCD">
            <w:pPr>
              <w:suppressAutoHyphens/>
              <w:autoSpaceDN w:val="0"/>
              <w:jc w:val="both"/>
              <w:textAlignment w:val="baseline"/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</w:pPr>
            <w:r w:rsidRPr="00F26FCD">
              <w:rPr>
                <w:rFonts w:ascii="Calibri" w:eastAsia="SimSun" w:hAnsi="Calibri" w:cs="Calibri"/>
                <w:bCs/>
                <w:color w:val="auto"/>
                <w:kern w:val="3"/>
                <w:sz w:val="22"/>
                <w:szCs w:val="22"/>
                <w:lang w:eastAsia="ar-SA"/>
              </w:rPr>
              <w:t>9</w:t>
            </w:r>
          </w:p>
        </w:tc>
      </w:tr>
    </w:tbl>
    <w:p w:rsidR="00CD097A" w:rsidRDefault="00CD097A" w:rsidP="00CD097A">
      <w:pPr>
        <w:pStyle w:val="Bezriadkovania"/>
        <w:jc w:val="both"/>
        <w:rPr>
          <w:color w:val="auto"/>
        </w:rPr>
      </w:pPr>
    </w:p>
    <w:p w:rsidR="00E47670" w:rsidRDefault="00CD097A" w:rsidP="00E47670">
      <w:pPr>
        <w:pStyle w:val="Bezriadkovania"/>
        <w:jc w:val="both"/>
        <w:rPr>
          <w:bCs/>
        </w:rPr>
      </w:pPr>
      <w:r w:rsidRPr="00144D76">
        <w:rPr>
          <w:bCs/>
        </w:rPr>
        <w:t xml:space="preserve">za cenu minimálne </w:t>
      </w:r>
      <w:r w:rsidRPr="009713C4">
        <w:rPr>
          <w:b/>
        </w:rPr>
        <w:t>99 900,--€,</w:t>
      </w:r>
      <w:r w:rsidRPr="00144D76">
        <w:rPr>
          <w:bCs/>
        </w:rPr>
        <w:t xml:space="preserve"> s výškou zábezpeky 5%, t. j. </w:t>
      </w:r>
      <w:r w:rsidRPr="00CD097A">
        <w:rPr>
          <w:b/>
        </w:rPr>
        <w:t>4995,--€.</w:t>
      </w:r>
      <w:r w:rsidRPr="00144D76">
        <w:rPr>
          <w:bCs/>
        </w:rPr>
        <w:t xml:space="preserve"> Podmienkou zaradenia do súťaže je návrh na kúpu hnuteľností v celosti.</w:t>
      </w:r>
    </w:p>
    <w:p w:rsidR="00CD097A" w:rsidRDefault="00CD097A" w:rsidP="00E47670">
      <w:pPr>
        <w:pStyle w:val="Bezriadkovania"/>
        <w:jc w:val="both"/>
        <w:rPr>
          <w:rFonts w:eastAsiaTheme="minorHAnsi"/>
          <w:lang w:eastAsia="en-US"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DF5E91">
        <w:rPr>
          <w:b/>
        </w:rPr>
        <w:t>01.07.2019</w:t>
      </w:r>
      <w:r w:rsidR="00E3321D">
        <w:rPr>
          <w:b/>
        </w:rPr>
        <w:tab/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 xml:space="preserve">Obhliadku </w:t>
      </w:r>
      <w:proofErr w:type="spellStart"/>
      <w:r w:rsidRPr="00012F3B">
        <w:t>hnuteľnos</w:t>
      </w:r>
      <w:r w:rsidR="00CD097A">
        <w:t>í</w:t>
      </w:r>
      <w:r w:rsidR="0038480B">
        <w:t>i</w:t>
      </w:r>
      <w:proofErr w:type="spellEnd"/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DF5E91">
        <w:rPr>
          <w:b/>
        </w:rPr>
        <w:t>3</w:t>
      </w:r>
      <w:r w:rsidR="00CD097A">
        <w:rPr>
          <w:b/>
        </w:rPr>
        <w:t>0</w:t>
      </w:r>
      <w:r w:rsidR="00DF5E91">
        <w:rPr>
          <w:b/>
        </w:rPr>
        <w:t>.0</w:t>
      </w:r>
      <w:r w:rsidR="00CD097A">
        <w:rPr>
          <w:b/>
        </w:rPr>
        <w:t>8</w:t>
      </w:r>
      <w:r w:rsidR="00DF5E91">
        <w:rPr>
          <w:b/>
        </w:rPr>
        <w:t>.2019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DF5E9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F26FCD" w:rsidRDefault="00F26FCD" w:rsidP="000D7D4A">
      <w:pPr>
        <w:jc w:val="center"/>
        <w:rPr>
          <w:b/>
        </w:rPr>
      </w:pPr>
      <w:bookmarkStart w:id="0" w:name="_GoBack"/>
      <w:bookmarkEnd w:id="0"/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DF5E91">
        <w:t xml:space="preserve">01.07.2019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CD097A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hnuteľnos</w:t>
      </w:r>
      <w:r w:rsidR="00CD097A">
        <w:rPr>
          <w:b/>
        </w:rPr>
        <w:t>ti</w:t>
      </w:r>
      <w:r>
        <w:rPr>
          <w:b/>
        </w:rPr>
        <w:t xml:space="preserve">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D097A" w:rsidRDefault="00C06990" w:rsidP="00CD097A">
      <w:pPr>
        <w:numPr>
          <w:ilvl w:val="0"/>
          <w:numId w:val="1"/>
        </w:numPr>
        <w:jc w:val="both"/>
        <w:rPr>
          <w:b/>
        </w:rPr>
      </w:pPr>
      <w:r>
        <w:t xml:space="preserve">Do poznámky k platbe prevodom na bankový účet uviesť: </w:t>
      </w:r>
      <w:r w:rsidRPr="00CD097A">
        <w:rPr>
          <w:b/>
        </w:rPr>
        <w:t>„</w:t>
      </w:r>
      <w:r w:rsidR="00CD097A" w:rsidRPr="00CD097A">
        <w:rPr>
          <w:b/>
        </w:rPr>
        <w:t>Technologické stroje, zariadenia a chladiaca technológia ľadu na zimný štadión</w:t>
      </w:r>
      <w:r w:rsidRPr="00CD097A">
        <w:rPr>
          <w:b/>
        </w:rPr>
        <w:t>“</w:t>
      </w:r>
      <w:r w:rsidR="0038480B" w:rsidRPr="00CD097A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lastRenderedPageBreak/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hnuteľnost</w:t>
      </w:r>
      <w:r w:rsidR="00CD097A">
        <w:t>í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hnuteľnos</w:t>
      </w:r>
      <w:r w:rsidR="00CD097A">
        <w:t>ti</w:t>
      </w:r>
      <w:r w:rsidRPr="00633C1C">
        <w:t xml:space="preserve">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CD097A" w:rsidRPr="00817608" w:rsidRDefault="00817608" w:rsidP="00CD097A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 xml:space="preserve">NÁVRH NA </w:t>
      </w:r>
      <w:r w:rsidR="00CD097A">
        <w:rPr>
          <w:b/>
        </w:rPr>
        <w:t>ODKÚPENIE TE</w:t>
      </w:r>
      <w:r w:rsidR="001D5B77">
        <w:rPr>
          <w:b/>
        </w:rPr>
        <w:t>C</w:t>
      </w:r>
      <w:r w:rsidR="00CD097A">
        <w:rPr>
          <w:b/>
        </w:rPr>
        <w:t>HNOLOGICKÝCH STROJOV</w:t>
      </w:r>
      <w:r w:rsidR="001D5B77">
        <w:rPr>
          <w:b/>
        </w:rPr>
        <w:t>,</w:t>
      </w:r>
      <w:r w:rsidR="00CD097A">
        <w:rPr>
          <w:b/>
        </w:rPr>
        <w:t xml:space="preserve"> ZARIADENIA A CHLADIACEJ TECHNOLÓGIE ĽADU </w:t>
      </w:r>
    </w:p>
    <w:p w:rsidR="000D7D4A" w:rsidRDefault="000D7D4A" w:rsidP="00CD097A">
      <w:pPr>
        <w:jc w:val="both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hnuteľnost</w:t>
      </w:r>
      <w:r w:rsidR="00CD097A">
        <w:rPr>
          <w:b/>
        </w:rPr>
        <w:t>í</w:t>
      </w:r>
      <w:r>
        <w:rPr>
          <w:b/>
        </w:rPr>
        <w:t xml:space="preserve">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označenie hnuteľnosti </w:t>
      </w:r>
      <w:r w:rsidR="00CD097A">
        <w:t>(ich</w:t>
      </w:r>
      <w:r>
        <w:t xml:space="preserve">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hnuteľnos</w:t>
      </w:r>
      <w:r w:rsidR="009D7333">
        <w:t>ti</w:t>
      </w:r>
      <w:r>
        <w:t xml:space="preserve"> </w:t>
      </w:r>
      <w:r w:rsidR="00CD097A">
        <w:t>v celosti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lastRenderedPageBreak/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38480B" w:rsidRDefault="0038480B" w:rsidP="000D7D4A"/>
    <w:p w:rsidR="00694D77" w:rsidRDefault="000D7D4A" w:rsidP="000D7D4A">
      <w:r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7BF" w:rsidRDefault="007D77BF">
      <w:r>
        <w:separator/>
      </w:r>
    </w:p>
  </w:endnote>
  <w:endnote w:type="continuationSeparator" w:id="0">
    <w:p w:rsidR="007D77BF" w:rsidRDefault="007D7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7D77B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7BF" w:rsidRDefault="007D77BF">
      <w:r>
        <w:separator/>
      </w:r>
    </w:p>
  </w:footnote>
  <w:footnote w:type="continuationSeparator" w:id="0">
    <w:p w:rsidR="007D77BF" w:rsidRDefault="007D7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D1F71"/>
    <w:rsid w:val="000D648D"/>
    <w:rsid w:val="000D7D4A"/>
    <w:rsid w:val="000F0F28"/>
    <w:rsid w:val="001125B2"/>
    <w:rsid w:val="00153C59"/>
    <w:rsid w:val="00156DA4"/>
    <w:rsid w:val="0017559C"/>
    <w:rsid w:val="001A13DF"/>
    <w:rsid w:val="001B2268"/>
    <w:rsid w:val="001D5B77"/>
    <w:rsid w:val="002450E0"/>
    <w:rsid w:val="0025357F"/>
    <w:rsid w:val="0027742C"/>
    <w:rsid w:val="002C3436"/>
    <w:rsid w:val="0030292D"/>
    <w:rsid w:val="00304B4E"/>
    <w:rsid w:val="003809A3"/>
    <w:rsid w:val="0038480B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42326"/>
    <w:rsid w:val="007D77BF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9D7333"/>
    <w:rsid w:val="00A14245"/>
    <w:rsid w:val="00A20847"/>
    <w:rsid w:val="00A63B1A"/>
    <w:rsid w:val="00A73181"/>
    <w:rsid w:val="00A91E28"/>
    <w:rsid w:val="00AD12A6"/>
    <w:rsid w:val="00AD2E5B"/>
    <w:rsid w:val="00AE436E"/>
    <w:rsid w:val="00B5549E"/>
    <w:rsid w:val="00B926BC"/>
    <w:rsid w:val="00BE36FD"/>
    <w:rsid w:val="00BE75BE"/>
    <w:rsid w:val="00C02589"/>
    <w:rsid w:val="00C06990"/>
    <w:rsid w:val="00C1229C"/>
    <w:rsid w:val="00C13F0F"/>
    <w:rsid w:val="00C25C68"/>
    <w:rsid w:val="00C43E1B"/>
    <w:rsid w:val="00C76C61"/>
    <w:rsid w:val="00CC45A5"/>
    <w:rsid w:val="00CD097A"/>
    <w:rsid w:val="00CE64F7"/>
    <w:rsid w:val="00DA52F2"/>
    <w:rsid w:val="00DA5D1B"/>
    <w:rsid w:val="00DB2F22"/>
    <w:rsid w:val="00DD1ACF"/>
    <w:rsid w:val="00DE0755"/>
    <w:rsid w:val="00DF5E91"/>
    <w:rsid w:val="00DF7F18"/>
    <w:rsid w:val="00E3321D"/>
    <w:rsid w:val="00E47670"/>
    <w:rsid w:val="00ED39EF"/>
    <w:rsid w:val="00F00D34"/>
    <w:rsid w:val="00F134BB"/>
    <w:rsid w:val="00F26FCD"/>
    <w:rsid w:val="00F31373"/>
    <w:rsid w:val="00F36343"/>
    <w:rsid w:val="00F37804"/>
    <w:rsid w:val="00F95759"/>
    <w:rsid w:val="00FA3327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03181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F26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9</cp:revision>
  <cp:lastPrinted>2017-04-05T12:40:00Z</cp:lastPrinted>
  <dcterms:created xsi:type="dcterms:W3CDTF">2018-06-29T06:19:00Z</dcterms:created>
  <dcterms:modified xsi:type="dcterms:W3CDTF">2019-06-13T07:37:00Z</dcterms:modified>
</cp:coreProperties>
</file>