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3DF" w:rsidRPr="002E0380" w:rsidRDefault="00461730" w:rsidP="003173DF">
      <w:pPr>
        <w:spacing w:before="60"/>
        <w:jc w:val="both"/>
        <w:rPr>
          <w:b/>
          <w:sz w:val="36"/>
        </w:rPr>
      </w:pPr>
      <w:r>
        <w:rPr>
          <w:noProof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4841240</wp:posOffset>
            </wp:positionH>
            <wp:positionV relativeFrom="paragraph">
              <wp:posOffset>-20955</wp:posOffset>
            </wp:positionV>
            <wp:extent cx="977900" cy="800100"/>
            <wp:effectExtent l="0" t="0" r="0" b="0"/>
            <wp:wrapNone/>
            <wp:docPr id="9" name="Obrázok 5" descr="ISO 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SO 9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06E5">
        <w:rPr>
          <w:b/>
          <w:sz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.85pt;margin-top:7.3pt;width:81.3pt;height:53.25pt;z-index:-251650560;mso-position-horizontal-relative:text;mso-position-vertical-relative:text">
            <v:imagedata r:id="rId9" o:title=""/>
          </v:shape>
          <o:OLEObject Type="Embed" ProgID="CorelDRAW.Graphic.12" ShapeID="_x0000_s1027" DrawAspect="Content" ObjectID="_1597680913" r:id="rId10"/>
        </w:object>
      </w:r>
    </w:p>
    <w:p w:rsidR="003173DF" w:rsidRPr="002E0380" w:rsidRDefault="003173DF" w:rsidP="00650BBB">
      <w:pPr>
        <w:ind w:left="709"/>
        <w:jc w:val="center"/>
        <w:rPr>
          <w:b/>
          <w:sz w:val="40"/>
        </w:rPr>
      </w:pPr>
      <w:r w:rsidRPr="002E0380">
        <w:rPr>
          <w:b/>
          <w:sz w:val="40"/>
        </w:rPr>
        <w:t>Ľubovnianska nemocnica, n. o.</w:t>
      </w:r>
    </w:p>
    <w:p w:rsidR="003173DF" w:rsidRPr="002E0380" w:rsidRDefault="003173DF" w:rsidP="00650BBB">
      <w:pPr>
        <w:ind w:left="709"/>
        <w:jc w:val="center"/>
        <w:rPr>
          <w:b/>
          <w:sz w:val="40"/>
        </w:rPr>
      </w:pPr>
      <w:r w:rsidRPr="002E0380">
        <w:rPr>
          <w:b/>
          <w:sz w:val="28"/>
        </w:rPr>
        <w:t>Obrancov mieru 3, 064 01 Stará Ľubovňa</w:t>
      </w:r>
    </w:p>
    <w:p w:rsidR="003173DF" w:rsidRPr="002E0380" w:rsidRDefault="003173DF" w:rsidP="003173DF">
      <w:pPr>
        <w:jc w:val="center"/>
        <w:rPr>
          <w:b/>
          <w:sz w:val="16"/>
          <w:szCs w:val="16"/>
        </w:rPr>
      </w:pPr>
    </w:p>
    <w:p w:rsidR="003173DF" w:rsidRPr="002E0380" w:rsidRDefault="00461730" w:rsidP="003173DF">
      <w:pPr>
        <w:pStyle w:val="Hlavika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569976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97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90712F" id="Line 2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pt" to="448.8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" o:allowincell="f" strokeweight="3pt">
                <v:stroke linestyle="thinThin"/>
              </v:line>
            </w:pict>
          </mc:Fallback>
        </mc:AlternateContent>
      </w: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737EEE" w:rsidRPr="002E0380" w:rsidRDefault="00737EEE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48"/>
          <w:szCs w:val="36"/>
        </w:rPr>
      </w:pPr>
      <w:r w:rsidRPr="002E0380">
        <w:rPr>
          <w:sz w:val="48"/>
          <w:szCs w:val="36"/>
        </w:rPr>
        <w:t>Správa o činnosti a finančnom hospodárení</w:t>
      </w:r>
    </w:p>
    <w:p w:rsidR="00B32937" w:rsidRPr="002E0380" w:rsidRDefault="00B32937" w:rsidP="00126004">
      <w:pPr>
        <w:widowControl w:val="0"/>
        <w:autoSpaceDE w:val="0"/>
        <w:autoSpaceDN w:val="0"/>
        <w:adjustRightInd w:val="0"/>
        <w:jc w:val="center"/>
        <w:rPr>
          <w:sz w:val="40"/>
          <w:szCs w:val="36"/>
          <w:u w:val="single"/>
        </w:rPr>
      </w:pPr>
      <w:r w:rsidRPr="002E0380">
        <w:rPr>
          <w:sz w:val="48"/>
          <w:szCs w:val="36"/>
        </w:rPr>
        <w:t xml:space="preserve"> k</w:t>
      </w:r>
      <w:r w:rsidR="00885798">
        <w:rPr>
          <w:sz w:val="48"/>
          <w:szCs w:val="36"/>
        </w:rPr>
        <w:t> </w:t>
      </w:r>
      <w:r w:rsidR="00425A8B" w:rsidRPr="002E0380">
        <w:rPr>
          <w:sz w:val="48"/>
          <w:szCs w:val="36"/>
        </w:rPr>
        <w:t>3</w:t>
      </w:r>
      <w:r w:rsidR="00AC6A8E">
        <w:rPr>
          <w:sz w:val="48"/>
          <w:szCs w:val="36"/>
        </w:rPr>
        <w:t>0</w:t>
      </w:r>
      <w:r w:rsidRPr="002E0380">
        <w:rPr>
          <w:sz w:val="48"/>
          <w:szCs w:val="36"/>
        </w:rPr>
        <w:t>.</w:t>
      </w:r>
      <w:r w:rsidR="00E71B95">
        <w:rPr>
          <w:sz w:val="48"/>
          <w:szCs w:val="36"/>
        </w:rPr>
        <w:t>0</w:t>
      </w:r>
      <w:r w:rsidR="00AC6A8E">
        <w:rPr>
          <w:sz w:val="48"/>
          <w:szCs w:val="36"/>
        </w:rPr>
        <w:t>6</w:t>
      </w:r>
      <w:r w:rsidRPr="002E0380">
        <w:rPr>
          <w:sz w:val="48"/>
          <w:szCs w:val="36"/>
        </w:rPr>
        <w:t>.20</w:t>
      </w:r>
      <w:r w:rsidR="005246E4">
        <w:rPr>
          <w:sz w:val="48"/>
          <w:szCs w:val="36"/>
        </w:rPr>
        <w:t>1</w:t>
      </w:r>
      <w:r w:rsidR="00E71B95">
        <w:rPr>
          <w:sz w:val="48"/>
          <w:szCs w:val="36"/>
        </w:rPr>
        <w:t>8</w:t>
      </w: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4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AC6A8E" w:rsidP="00126004">
      <w:pPr>
        <w:widowControl w:val="0"/>
        <w:autoSpaceDE w:val="0"/>
        <w:autoSpaceDN w:val="0"/>
        <w:adjustRightInd w:val="0"/>
      </w:pPr>
      <w:r>
        <w:t>03</w:t>
      </w:r>
      <w:r w:rsidR="00BD0960" w:rsidRPr="002E0380">
        <w:t>.</w:t>
      </w:r>
      <w:r w:rsidR="004D192A">
        <w:t>0</w:t>
      </w:r>
      <w:r>
        <w:t>9</w:t>
      </w:r>
      <w:r w:rsidR="007D045A">
        <w:t>.</w:t>
      </w:r>
      <w:r w:rsidR="00B32937" w:rsidRPr="002E0380">
        <w:t>20</w:t>
      </w:r>
      <w:r w:rsidR="005246E4">
        <w:t>1</w:t>
      </w:r>
      <w:r w:rsidR="004D192A">
        <w:t>8</w:t>
      </w:r>
    </w:p>
    <w:p w:rsidR="00B32937" w:rsidRPr="002E0380" w:rsidRDefault="00B32937">
      <w:pPr>
        <w:widowControl w:val="0"/>
        <w:autoSpaceDE w:val="0"/>
        <w:autoSpaceDN w:val="0"/>
        <w:adjustRightInd w:val="0"/>
      </w:pPr>
      <w:r w:rsidRPr="002E0380">
        <w:rPr>
          <w:sz w:val="20"/>
        </w:rPr>
        <w:tab/>
      </w:r>
      <w:r w:rsidRPr="002E0380">
        <w:rPr>
          <w:sz w:val="20"/>
        </w:rPr>
        <w:tab/>
      </w:r>
      <w:r w:rsidRPr="002E0380">
        <w:rPr>
          <w:sz w:val="20"/>
        </w:rPr>
        <w:tab/>
      </w:r>
      <w:r w:rsidRPr="002E0380">
        <w:rPr>
          <w:sz w:val="20"/>
        </w:rPr>
        <w:tab/>
      </w:r>
      <w:r w:rsidRPr="002E0380">
        <w:rPr>
          <w:sz w:val="20"/>
        </w:rPr>
        <w:tab/>
      </w:r>
      <w:r w:rsidRPr="002E0380">
        <w:rPr>
          <w:sz w:val="20"/>
        </w:rPr>
        <w:tab/>
      </w:r>
      <w:r w:rsidRPr="002E0380">
        <w:rPr>
          <w:sz w:val="20"/>
        </w:rPr>
        <w:tab/>
      </w:r>
      <w:r w:rsidRPr="002E0380">
        <w:rPr>
          <w:sz w:val="20"/>
        </w:rPr>
        <w:tab/>
      </w:r>
      <w:r w:rsidRPr="002E0380">
        <w:t xml:space="preserve">MUDr. </w:t>
      </w:r>
      <w:r w:rsidR="00BD0960" w:rsidRPr="002E0380">
        <w:t>Peter</w:t>
      </w:r>
      <w:r w:rsidRPr="002E0380">
        <w:t xml:space="preserve"> </w:t>
      </w:r>
      <w:r w:rsidR="00BD0960" w:rsidRPr="002E0380">
        <w:t>Bizovský</w:t>
      </w:r>
      <w:r w:rsidRPr="002E0380">
        <w:t>,</w:t>
      </w:r>
      <w:r w:rsidR="00BD0960" w:rsidRPr="002E0380">
        <w:t xml:space="preserve"> </w:t>
      </w:r>
      <w:r w:rsidRPr="002E0380">
        <w:t>MPH</w:t>
      </w:r>
    </w:p>
    <w:p w:rsidR="00B32937" w:rsidRPr="002E0380" w:rsidRDefault="00C661A5">
      <w:pPr>
        <w:widowControl w:val="0"/>
        <w:autoSpaceDE w:val="0"/>
        <w:autoSpaceDN w:val="0"/>
        <w:adjustRightInd w:val="0"/>
        <w:ind w:left="6480"/>
        <w:rPr>
          <w:sz w:val="20"/>
        </w:rPr>
      </w:pPr>
      <w:r w:rsidRPr="002E0380">
        <w:rPr>
          <w:sz w:val="20"/>
        </w:rPr>
        <w:t xml:space="preserve">   riaditeľ ĽN, n.o.</w:t>
      </w:r>
    </w:p>
    <w:p w:rsidR="00B32937" w:rsidRPr="002E0380" w:rsidRDefault="00B32937">
      <w:pPr>
        <w:widowControl w:val="0"/>
        <w:autoSpaceDE w:val="0"/>
        <w:autoSpaceDN w:val="0"/>
        <w:adjustRightInd w:val="0"/>
      </w:pPr>
      <w:r w:rsidRPr="002E0380">
        <w:t xml:space="preserve">                                                                           </w:t>
      </w:r>
      <w:r w:rsidRPr="002E0380">
        <w:tab/>
        <w:t xml:space="preserve">                  </w:t>
      </w:r>
    </w:p>
    <w:p w:rsidR="00B32937" w:rsidRPr="002E0380" w:rsidRDefault="00B32937">
      <w:pPr>
        <w:widowControl w:val="0"/>
        <w:autoSpaceDE w:val="0"/>
        <w:autoSpaceDN w:val="0"/>
        <w:adjustRightInd w:val="0"/>
      </w:pPr>
      <w:r w:rsidRPr="002E0380">
        <w:t xml:space="preserve">                                                                                    </w:t>
      </w:r>
      <w:r w:rsidRPr="002E0380">
        <w:tab/>
        <w:t xml:space="preserve">               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2E0380">
        <w:br w:type="page"/>
      </w:r>
      <w:r w:rsidRPr="002E0380">
        <w:rPr>
          <w:b/>
          <w:sz w:val="28"/>
          <w:szCs w:val="28"/>
        </w:rPr>
        <w:lastRenderedPageBreak/>
        <w:t>Zakladatelia Ľubovnianskej nemocnice, n.o.</w:t>
      </w:r>
    </w:p>
    <w:p w:rsidR="00CC695A" w:rsidRPr="002E0380" w:rsidRDefault="00CC695A" w:rsidP="00CC695A">
      <w:pPr>
        <w:autoSpaceDE w:val="0"/>
        <w:autoSpaceDN w:val="0"/>
        <w:adjustRightInd w:val="0"/>
      </w:pPr>
      <w:r w:rsidRPr="002E0380">
        <w:t>Prešovský samosprávny kraj, Námestie mieru č.2, 080 01  Prešov</w:t>
      </w:r>
    </w:p>
    <w:p w:rsidR="00CC695A" w:rsidRPr="002E0380" w:rsidRDefault="00CC695A" w:rsidP="00CC695A">
      <w:pPr>
        <w:autoSpaceDE w:val="0"/>
        <w:autoSpaceDN w:val="0"/>
        <w:adjustRightInd w:val="0"/>
      </w:pPr>
      <w:r w:rsidRPr="002E0380">
        <w:t>a</w:t>
      </w:r>
    </w:p>
    <w:p w:rsidR="00CC695A" w:rsidRPr="002E0380" w:rsidRDefault="00CC695A" w:rsidP="00CC695A">
      <w:pPr>
        <w:autoSpaceDE w:val="0"/>
        <w:autoSpaceDN w:val="0"/>
        <w:adjustRightInd w:val="0"/>
      </w:pPr>
      <w:r w:rsidRPr="002E0380">
        <w:t>Mesto Stará Ľubovňa, Obchodná č., 064 01  Stará Ľubovňa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</w:pPr>
    </w:p>
    <w:p w:rsidR="00CC695A" w:rsidRPr="002E0380" w:rsidRDefault="00CC695A" w:rsidP="00CC695A">
      <w:pPr>
        <w:widowControl w:val="0"/>
        <w:autoSpaceDE w:val="0"/>
        <w:autoSpaceDN w:val="0"/>
        <w:adjustRightInd w:val="0"/>
      </w:pP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2E0380">
        <w:rPr>
          <w:b/>
          <w:sz w:val="28"/>
          <w:szCs w:val="28"/>
        </w:rPr>
        <w:t>Názov a sídlo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bCs/>
        </w:rPr>
      </w:pPr>
      <w:r w:rsidRPr="002E0380">
        <w:t xml:space="preserve">Ľubovnianska nemocnica, </w:t>
      </w:r>
      <w:r w:rsidRPr="002E0380">
        <w:rPr>
          <w:bCs/>
        </w:rPr>
        <w:t>n. o.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rFonts w:cs="TimesNewRoman"/>
        </w:rPr>
      </w:pPr>
      <w:r w:rsidRPr="002E0380">
        <w:rPr>
          <w:rFonts w:cs="TimesNewRoman"/>
        </w:rPr>
        <w:t>Obrancov mieru 3, 064 01  Stará Ľubovňa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rFonts w:cs="TimesNewRoman"/>
        </w:rPr>
      </w:pP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rFonts w:cs="TimesNewRoman"/>
        </w:rPr>
      </w:pPr>
      <w:r w:rsidRPr="002E0380">
        <w:rPr>
          <w:rFonts w:cs="TimesNewRoman"/>
        </w:rPr>
        <w:t xml:space="preserve">Kontakt: </w:t>
      </w:r>
      <w:r w:rsidRPr="002E0380">
        <w:rPr>
          <w:rFonts w:cs="TimesNewRoman"/>
        </w:rPr>
        <w:tab/>
        <w:t>tel.: 052/4317215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rFonts w:cs="TimesNewRoman"/>
        </w:rPr>
      </w:pPr>
      <w:r w:rsidRPr="002E0380">
        <w:rPr>
          <w:rFonts w:cs="TimesNewRoman"/>
        </w:rPr>
        <w:tab/>
      </w:r>
      <w:r w:rsidRPr="002E0380">
        <w:rPr>
          <w:rFonts w:cs="TimesNewRoman"/>
        </w:rPr>
        <w:tab/>
        <w:t>fax: 052/4321367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rFonts w:cs="TimesNewRoman"/>
        </w:rPr>
      </w:pPr>
      <w:r w:rsidRPr="002E0380">
        <w:rPr>
          <w:rFonts w:cs="TimesNewRoman"/>
        </w:rPr>
        <w:tab/>
      </w:r>
      <w:r w:rsidRPr="002E0380">
        <w:rPr>
          <w:rFonts w:cs="TimesNewRoman"/>
        </w:rPr>
        <w:tab/>
        <w:t xml:space="preserve">e-mail: </w:t>
      </w:r>
      <w:hyperlink r:id="rId11" w:history="1">
        <w:r w:rsidR="00E71B95" w:rsidRPr="00DB334B">
          <w:rPr>
            <w:rStyle w:val="Hypertextovprepojenie"/>
            <w:rFonts w:cs="TimesNewRoman"/>
          </w:rPr>
          <w:t>sekretariat@lubovnianskanemocnica.sk</w:t>
        </w:r>
      </w:hyperlink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rFonts w:cs="TimesNewRoman"/>
        </w:rPr>
      </w:pP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rFonts w:cs="TimesNewRoman"/>
        </w:rPr>
      </w:pPr>
      <w:r w:rsidRPr="002E0380">
        <w:rPr>
          <w:rFonts w:cs="TimesNewRoman"/>
        </w:rPr>
        <w:t>Zapísaná v registri neziskových organizácií pod číslom: OVVS-119/2005-NO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rFonts w:cs="TimesNewRoman"/>
        </w:rPr>
      </w:pPr>
      <w:r w:rsidRPr="002E0380">
        <w:rPr>
          <w:rFonts w:cs="TimesNewRoman"/>
        </w:rPr>
        <w:t>IČO: 37 886 851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</w:pPr>
      <w:r w:rsidRPr="002E0380">
        <w:tab/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</w:pP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2E0380">
        <w:rPr>
          <w:b/>
          <w:sz w:val="28"/>
          <w:szCs w:val="28"/>
        </w:rPr>
        <w:t>Predmet činnosti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jc w:val="both"/>
      </w:pPr>
      <w:r w:rsidRPr="002E0380">
        <w:rPr>
          <w:rFonts w:cs="TimesNewRoman"/>
        </w:rPr>
        <w:t>Všeobecná nemocnica - poskytovanie ambulantnej, ústavnej zdravotnej starostlivosti</w:t>
      </w:r>
      <w:r w:rsidRPr="002E0380">
        <w:t xml:space="preserve"> s lekárskej starostlivosti v rozsahu: 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ind w:left="1440" w:firstLine="720"/>
      </w:pPr>
      <w:r w:rsidRPr="002E0380">
        <w:t>- všeobecná ambulantná starostlivosť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</w:pPr>
      <w:r w:rsidRPr="002E0380">
        <w:tab/>
      </w:r>
      <w:r w:rsidRPr="002E0380">
        <w:tab/>
      </w:r>
      <w:r w:rsidRPr="002E0380">
        <w:tab/>
        <w:t>- špecializovaná ambulantná starostlivosť</w:t>
      </w:r>
    </w:p>
    <w:p w:rsidR="00CC695A" w:rsidRPr="002E0380" w:rsidRDefault="00CC695A" w:rsidP="00FB06C1">
      <w:pPr>
        <w:widowControl w:val="0"/>
        <w:autoSpaceDE w:val="0"/>
        <w:autoSpaceDN w:val="0"/>
        <w:adjustRightInd w:val="0"/>
      </w:pPr>
      <w:r w:rsidRPr="002E0380">
        <w:tab/>
      </w:r>
      <w:r w:rsidRPr="002E0380">
        <w:tab/>
      </w:r>
      <w:r w:rsidRPr="002E0380">
        <w:tab/>
        <w:t>- samostatné zariadenia spoločných vyšetrovacích a liečebných zložiek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</w:pPr>
      <w:r w:rsidRPr="002E0380">
        <w:tab/>
      </w:r>
      <w:r w:rsidRPr="002E0380">
        <w:tab/>
      </w:r>
      <w:r w:rsidRPr="002E0380">
        <w:tab/>
        <w:t>- ústavná zdravotná starostlivosť</w:t>
      </w:r>
    </w:p>
    <w:p w:rsidR="008002E7" w:rsidRPr="002E0380" w:rsidRDefault="008002E7" w:rsidP="00E910EC">
      <w:pPr>
        <w:widowControl w:val="0"/>
        <w:autoSpaceDE w:val="0"/>
        <w:autoSpaceDN w:val="0"/>
        <w:adjustRightInd w:val="0"/>
      </w:pPr>
      <w:r w:rsidRPr="002E0380">
        <w:tab/>
      </w:r>
      <w:r w:rsidRPr="002E0380">
        <w:tab/>
      </w:r>
      <w:r w:rsidRPr="002E0380">
        <w:tab/>
        <w:t>- dopravná služba</w:t>
      </w:r>
    </w:p>
    <w:p w:rsidR="00CC695A" w:rsidRPr="004E2484" w:rsidRDefault="00CC695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2E0380">
        <w:br w:type="page"/>
      </w:r>
      <w:r w:rsidRPr="004E2484">
        <w:rPr>
          <w:b/>
          <w:sz w:val="28"/>
          <w:szCs w:val="28"/>
        </w:rPr>
        <w:lastRenderedPageBreak/>
        <w:t>Náklady, výnosy, hospodársky výsledok</w:t>
      </w:r>
    </w:p>
    <w:p w:rsidR="00FB06C1" w:rsidRPr="00F10D5E" w:rsidRDefault="00FB06C1" w:rsidP="00126004">
      <w:pPr>
        <w:widowControl w:val="0"/>
        <w:autoSpaceDE w:val="0"/>
        <w:autoSpaceDN w:val="0"/>
        <w:adjustRightInd w:val="0"/>
        <w:ind w:firstLine="720"/>
        <w:jc w:val="both"/>
      </w:pPr>
      <w:r w:rsidRPr="004E2484">
        <w:t>Ľubovnianska nemocnica, n.o. dosiahla</w:t>
      </w:r>
      <w:r w:rsidRPr="009E6CB5">
        <w:t xml:space="preserve"> </w:t>
      </w:r>
      <w:r w:rsidR="008632A5">
        <w:t>k 3</w:t>
      </w:r>
      <w:r w:rsidR="00A67263">
        <w:t>0</w:t>
      </w:r>
      <w:r w:rsidR="008632A5">
        <w:t>.</w:t>
      </w:r>
      <w:r w:rsidR="00D5609A">
        <w:t>0</w:t>
      </w:r>
      <w:r w:rsidR="00A67263">
        <w:t>6</w:t>
      </w:r>
      <w:r w:rsidR="008632A5">
        <w:t>.</w:t>
      </w:r>
      <w:r w:rsidRPr="009E6CB5">
        <w:t>201</w:t>
      </w:r>
      <w:r w:rsidR="00D5609A">
        <w:t>8</w:t>
      </w:r>
      <w:r w:rsidR="008632A5">
        <w:t xml:space="preserve"> hospodársky výsledok </w:t>
      </w:r>
      <w:r w:rsidR="003A06E5">
        <w:t>507</w:t>
      </w:r>
      <w:r w:rsidRPr="009E6CB5">
        <w:t>.</w:t>
      </w:r>
      <w:r w:rsidR="003A06E5">
        <w:t>413</w:t>
      </w:r>
      <w:r w:rsidRPr="009E6CB5">
        <w:t xml:space="preserve"> € pri nákladoch </w:t>
      </w:r>
      <w:r w:rsidR="003A06E5">
        <w:t>6</w:t>
      </w:r>
      <w:r w:rsidRPr="009E6CB5">
        <w:t>.</w:t>
      </w:r>
      <w:r w:rsidR="003A06E5">
        <w:t>422</w:t>
      </w:r>
      <w:r w:rsidRPr="009E6CB5">
        <w:t>.</w:t>
      </w:r>
      <w:r w:rsidR="003A06E5">
        <w:t>255</w:t>
      </w:r>
      <w:r w:rsidRPr="009E6CB5">
        <w:t xml:space="preserve"> € a výnosoch </w:t>
      </w:r>
      <w:r w:rsidR="003A06E5">
        <w:t>6</w:t>
      </w:r>
      <w:r w:rsidR="00A24AF6">
        <w:t>.</w:t>
      </w:r>
      <w:r w:rsidR="003A06E5">
        <w:t>929</w:t>
      </w:r>
      <w:r w:rsidRPr="009E6CB5">
        <w:t>.</w:t>
      </w:r>
      <w:r w:rsidR="003A06E5">
        <w:t>668</w:t>
      </w:r>
      <w:r w:rsidRPr="009E6CB5">
        <w:t xml:space="preserve"> €. Oproti plánu sú náklady o </w:t>
      </w:r>
      <w:r w:rsidR="003A06E5">
        <w:t>2</w:t>
      </w:r>
      <w:r w:rsidRPr="009E6CB5">
        <w:t>,</w:t>
      </w:r>
      <w:r w:rsidR="003A06E5">
        <w:t>0</w:t>
      </w:r>
      <w:r w:rsidRPr="009E6CB5">
        <w:t xml:space="preserve"> % </w:t>
      </w:r>
      <w:r w:rsidR="009075B7">
        <w:t>vyššie</w:t>
      </w:r>
      <w:r w:rsidR="009075B7" w:rsidRPr="009E6CB5">
        <w:t xml:space="preserve"> </w:t>
      </w:r>
      <w:r w:rsidRPr="009E6CB5">
        <w:t>a</w:t>
      </w:r>
      <w:r w:rsidR="00B571B7">
        <w:t> </w:t>
      </w:r>
      <w:r w:rsidRPr="009E6CB5">
        <w:t xml:space="preserve">výnosy </w:t>
      </w:r>
      <w:r w:rsidR="003A06E5">
        <w:t>nižšie</w:t>
      </w:r>
      <w:r w:rsidR="009075B7">
        <w:t xml:space="preserve"> </w:t>
      </w:r>
      <w:r w:rsidR="008632A5">
        <w:t>o</w:t>
      </w:r>
      <w:r w:rsidR="00CE02F8">
        <w:t> </w:t>
      </w:r>
      <w:r w:rsidR="003A06E5">
        <w:t>0</w:t>
      </w:r>
      <w:r w:rsidR="00E9695A">
        <w:t>,</w:t>
      </w:r>
      <w:r w:rsidR="003A06E5">
        <w:t>5</w:t>
      </w:r>
      <w:r w:rsidRPr="009E6CB5">
        <w:t xml:space="preserve"> %. </w:t>
      </w:r>
      <w:r w:rsidR="00885798">
        <w:t xml:space="preserve">V porovnaní s predchádzajúcim rokom </w:t>
      </w:r>
      <w:r w:rsidR="00885798" w:rsidRPr="009E6CB5">
        <w:t xml:space="preserve">sú náklady </w:t>
      </w:r>
      <w:r w:rsidR="00885798">
        <w:t>vyššie</w:t>
      </w:r>
      <w:r w:rsidR="00885798" w:rsidRPr="009E6CB5">
        <w:t xml:space="preserve"> o </w:t>
      </w:r>
      <w:r w:rsidR="00AD1015">
        <w:t>11</w:t>
      </w:r>
      <w:r w:rsidR="00885798" w:rsidRPr="009E6CB5">
        <w:t>,</w:t>
      </w:r>
      <w:r w:rsidR="00AD1015">
        <w:t>6</w:t>
      </w:r>
      <w:r w:rsidR="00885798" w:rsidRPr="009E6CB5">
        <w:t xml:space="preserve"> % a výnosy </w:t>
      </w:r>
      <w:r w:rsidR="00E54652">
        <w:t>vyššie o </w:t>
      </w:r>
      <w:r w:rsidR="00AD1015">
        <w:t>7</w:t>
      </w:r>
      <w:r w:rsidR="00885798">
        <w:t>,</w:t>
      </w:r>
      <w:r w:rsidR="00AD1015">
        <w:t>6</w:t>
      </w:r>
      <w:r w:rsidR="00885798" w:rsidRPr="009E6CB5">
        <w:t xml:space="preserve"> %.</w:t>
      </w:r>
    </w:p>
    <w:p w:rsidR="00FB06C1" w:rsidRPr="00F10D5E" w:rsidRDefault="00FB06C1" w:rsidP="00126004">
      <w:pPr>
        <w:widowControl w:val="0"/>
        <w:autoSpaceDE w:val="0"/>
        <w:autoSpaceDN w:val="0"/>
        <w:adjustRightInd w:val="0"/>
        <w:ind w:firstLine="720"/>
        <w:jc w:val="both"/>
      </w:pPr>
      <w:r w:rsidRPr="00F10D5E">
        <w:t>Z významných faktorov, ktoré ovplyvnili hospodárenie ĽN, n.o. v</w:t>
      </w:r>
      <w:r w:rsidR="00DE19A0">
        <w:t> roku</w:t>
      </w:r>
      <w:r w:rsidRPr="00F10D5E">
        <w:t xml:space="preserve"> 201</w:t>
      </w:r>
      <w:r w:rsidR="00B571B7">
        <w:t>8</w:t>
      </w:r>
      <w:r w:rsidRPr="00F10D5E">
        <w:t xml:space="preserve"> je </w:t>
      </w:r>
      <w:r w:rsidR="00382044">
        <w:t>vhod</w:t>
      </w:r>
      <w:r w:rsidRPr="00F10D5E">
        <w:t>né uviesť tieto:</w:t>
      </w:r>
    </w:p>
    <w:p w:rsidR="0038202C" w:rsidRPr="00DB6B86" w:rsidRDefault="00E518C4" w:rsidP="00FB25A2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16"/>
          <w:szCs w:val="16"/>
        </w:rPr>
      </w:pPr>
      <w:r w:rsidRPr="00C3372A">
        <w:t>spotreba materiálu</w:t>
      </w:r>
      <w:r w:rsidR="00DB6B86">
        <w:t xml:space="preserve"> (</w:t>
      </w:r>
      <w:r w:rsidR="00DB6B86" w:rsidRPr="00DB6B86">
        <w:rPr>
          <w:sz w:val="16"/>
          <w:szCs w:val="16"/>
        </w:rPr>
        <w:t xml:space="preserve">nárast PHM – nárast počtu km dopravnej služby, </w:t>
      </w:r>
      <w:r w:rsidR="00DB6B86">
        <w:rPr>
          <w:sz w:val="16"/>
          <w:szCs w:val="16"/>
        </w:rPr>
        <w:t>lieky – nárast spotreby liekov kategórie „A“ onkologická ambulancia a nárast spotreby kontrastných látok v súvislosti s nárastom počtu vyšetrení, potraviny – nárast cien potravín, materiál – rekonštrukcie vo vlastnej réžii</w:t>
      </w:r>
      <w:r w:rsidR="00DB6B86" w:rsidRPr="00DB6B86">
        <w:t xml:space="preserve">) </w:t>
      </w:r>
    </w:p>
    <w:p w:rsidR="00E518C4" w:rsidRDefault="00A24AF6" w:rsidP="0038202C">
      <w:pPr>
        <w:widowControl w:val="0"/>
        <w:numPr>
          <w:ilvl w:val="0"/>
          <w:numId w:val="11"/>
        </w:numPr>
        <w:autoSpaceDE w:val="0"/>
        <w:autoSpaceDN w:val="0"/>
        <w:adjustRightInd w:val="0"/>
      </w:pPr>
      <w:r>
        <w:t>opravy a</w:t>
      </w:r>
      <w:r w:rsidR="00A60484">
        <w:t> </w:t>
      </w:r>
      <w:r>
        <w:t>údržba</w:t>
      </w:r>
      <w:r w:rsidR="00A60484">
        <w:t xml:space="preserve"> </w:t>
      </w:r>
      <w:r w:rsidR="00A60484" w:rsidRPr="00C3372A">
        <w:t>(</w:t>
      </w:r>
      <w:r w:rsidR="00496512">
        <w:rPr>
          <w:sz w:val="16"/>
          <w:szCs w:val="16"/>
        </w:rPr>
        <w:t xml:space="preserve"> </w:t>
      </w:r>
      <w:r w:rsidR="00DB6B86">
        <w:rPr>
          <w:sz w:val="16"/>
          <w:szCs w:val="16"/>
        </w:rPr>
        <w:t>rekonštrukcie ambulancií, poruchy sanitných vozidiel, pozáručný servis RDG prístrojov</w:t>
      </w:r>
      <w:r w:rsidR="00A60484" w:rsidRPr="00C3372A">
        <w:t>)</w:t>
      </w:r>
    </w:p>
    <w:p w:rsidR="009075B7" w:rsidRDefault="009075B7" w:rsidP="0038202C">
      <w:pPr>
        <w:widowControl w:val="0"/>
        <w:numPr>
          <w:ilvl w:val="0"/>
          <w:numId w:val="11"/>
        </w:numPr>
        <w:autoSpaceDE w:val="0"/>
        <w:autoSpaceDN w:val="0"/>
        <w:adjustRightInd w:val="0"/>
      </w:pPr>
      <w:r>
        <w:t>osobné náklady</w:t>
      </w:r>
      <w:r w:rsidR="00DE4719">
        <w:t xml:space="preserve"> </w:t>
      </w:r>
      <w:r w:rsidR="00DB6B86">
        <w:t>(</w:t>
      </w:r>
      <w:r w:rsidR="00AC189D" w:rsidRPr="00AC189D">
        <w:rPr>
          <w:sz w:val="16"/>
          <w:szCs w:val="16"/>
        </w:rPr>
        <w:t>pod nárast sa podpísal rast miezd o </w:t>
      </w:r>
      <w:r w:rsidR="00DE6839">
        <w:rPr>
          <w:sz w:val="16"/>
          <w:szCs w:val="16"/>
        </w:rPr>
        <w:t>5</w:t>
      </w:r>
      <w:r w:rsidR="00AC189D" w:rsidRPr="00AC189D">
        <w:rPr>
          <w:sz w:val="16"/>
          <w:szCs w:val="16"/>
        </w:rPr>
        <w:t>,</w:t>
      </w:r>
      <w:r w:rsidR="00DE6839">
        <w:rPr>
          <w:sz w:val="16"/>
          <w:szCs w:val="16"/>
        </w:rPr>
        <w:t>3</w:t>
      </w:r>
      <w:r w:rsidR="00AC189D" w:rsidRPr="00AC189D">
        <w:rPr>
          <w:sz w:val="16"/>
          <w:szCs w:val="16"/>
        </w:rPr>
        <w:t xml:space="preserve"> %  a nárast počtu zamestnancov o </w:t>
      </w:r>
      <w:r w:rsidR="00DE6839">
        <w:rPr>
          <w:sz w:val="16"/>
          <w:szCs w:val="16"/>
        </w:rPr>
        <w:t>5</w:t>
      </w:r>
      <w:r w:rsidR="00AC189D" w:rsidRPr="00AC189D">
        <w:rPr>
          <w:sz w:val="16"/>
          <w:szCs w:val="16"/>
        </w:rPr>
        <w:t>,</w:t>
      </w:r>
      <w:r w:rsidR="00DE6839">
        <w:rPr>
          <w:sz w:val="16"/>
          <w:szCs w:val="16"/>
        </w:rPr>
        <w:t>3</w:t>
      </w:r>
      <w:r w:rsidR="00AC189D" w:rsidRPr="00AC189D">
        <w:rPr>
          <w:sz w:val="16"/>
          <w:szCs w:val="16"/>
        </w:rPr>
        <w:t xml:space="preserve"> %</w:t>
      </w:r>
      <w:r w:rsidR="00AC189D">
        <w:t xml:space="preserve">) </w:t>
      </w:r>
    </w:p>
    <w:p w:rsidR="00A60484" w:rsidRDefault="00AC189D" w:rsidP="0038202C">
      <w:pPr>
        <w:widowControl w:val="0"/>
        <w:numPr>
          <w:ilvl w:val="0"/>
          <w:numId w:val="11"/>
        </w:numPr>
        <w:autoSpaceDE w:val="0"/>
        <w:autoSpaceDN w:val="0"/>
        <w:adjustRightInd w:val="0"/>
      </w:pPr>
      <w:r>
        <w:t>poistné náklady</w:t>
      </w:r>
      <w:r w:rsidR="00DE4719">
        <w:t xml:space="preserve"> </w:t>
      </w:r>
      <w:r w:rsidR="00DE4719" w:rsidRPr="00C3372A">
        <w:t>(</w:t>
      </w:r>
      <w:r w:rsidRPr="00AC189D">
        <w:rPr>
          <w:sz w:val="16"/>
          <w:szCs w:val="16"/>
        </w:rPr>
        <w:t>ročné a polročné platby a taktiež rozšírenie poistného krytia</w:t>
      </w:r>
      <w:r w:rsidR="00DE4719" w:rsidRPr="00C3372A">
        <w:t>)</w:t>
      </w:r>
    </w:p>
    <w:p w:rsidR="009075B7" w:rsidRDefault="00AC189D" w:rsidP="0038202C">
      <w:pPr>
        <w:widowControl w:val="0"/>
        <w:numPr>
          <w:ilvl w:val="0"/>
          <w:numId w:val="11"/>
        </w:numPr>
        <w:autoSpaceDE w:val="0"/>
        <w:autoSpaceDN w:val="0"/>
        <w:adjustRightInd w:val="0"/>
      </w:pPr>
      <w:r>
        <w:t>náklady na výrobu transfúznych liekov (</w:t>
      </w:r>
      <w:r w:rsidRPr="00AC189D">
        <w:rPr>
          <w:sz w:val="16"/>
          <w:szCs w:val="16"/>
        </w:rPr>
        <w:t>vyšší predaj</w:t>
      </w:r>
      <w:r>
        <w:t>)</w:t>
      </w:r>
    </w:p>
    <w:p w:rsidR="00DE19A0" w:rsidRPr="00E9695A" w:rsidRDefault="00DE19A0" w:rsidP="00CA0325">
      <w:pPr>
        <w:widowControl w:val="0"/>
        <w:autoSpaceDE w:val="0"/>
        <w:autoSpaceDN w:val="0"/>
        <w:adjustRightInd w:val="0"/>
        <w:ind w:left="720"/>
        <w:rPr>
          <w:highlight w:val="yellow"/>
        </w:rPr>
      </w:pPr>
    </w:p>
    <w:p w:rsidR="00FB25A2" w:rsidRDefault="00DE19A0" w:rsidP="00FB25A2">
      <w:pPr>
        <w:widowControl w:val="0"/>
        <w:numPr>
          <w:ilvl w:val="0"/>
          <w:numId w:val="11"/>
        </w:numPr>
        <w:autoSpaceDE w:val="0"/>
        <w:autoSpaceDN w:val="0"/>
        <w:adjustRightInd w:val="0"/>
      </w:pPr>
      <w:r w:rsidRPr="00D6594D">
        <w:t xml:space="preserve">výnosy od ZP </w:t>
      </w:r>
      <w:r w:rsidR="0008482D">
        <w:t>–</w:t>
      </w:r>
      <w:r w:rsidRPr="00D6594D">
        <w:t xml:space="preserve"> </w:t>
      </w:r>
      <w:r w:rsidR="00A24AF6">
        <w:t>výkony</w:t>
      </w:r>
      <w:r w:rsidR="001B71CB">
        <w:t>, zmluvné objemy</w:t>
      </w:r>
    </w:p>
    <w:p w:rsidR="00FB25A2" w:rsidRDefault="001B71CB" w:rsidP="00FB25A2">
      <w:pPr>
        <w:widowControl w:val="0"/>
        <w:numPr>
          <w:ilvl w:val="0"/>
          <w:numId w:val="11"/>
        </w:numPr>
        <w:autoSpaceDE w:val="0"/>
        <w:autoSpaceDN w:val="0"/>
        <w:adjustRightInd w:val="0"/>
      </w:pPr>
      <w:r>
        <w:t>v</w:t>
      </w:r>
      <w:r w:rsidR="00FB25A2">
        <w:t xml:space="preserve">ýnosy od ZP – pripočítateľné položky </w:t>
      </w:r>
      <w:r w:rsidR="00FB25A2" w:rsidRPr="00FB25A2">
        <w:rPr>
          <w:sz w:val="20"/>
          <w:szCs w:val="20"/>
        </w:rPr>
        <w:t>(</w:t>
      </w:r>
      <w:r w:rsidR="00FB25A2" w:rsidRPr="00FB25A2">
        <w:rPr>
          <w:sz w:val="16"/>
          <w:szCs w:val="16"/>
        </w:rPr>
        <w:t>lieky „A“</w:t>
      </w:r>
      <w:r>
        <w:rPr>
          <w:sz w:val="16"/>
          <w:szCs w:val="16"/>
        </w:rPr>
        <w:t>, ŠZM „X“</w:t>
      </w:r>
      <w:r w:rsidR="00FB25A2" w:rsidRPr="00FB25A2">
        <w:rPr>
          <w:sz w:val="20"/>
          <w:szCs w:val="20"/>
        </w:rPr>
        <w:t>)</w:t>
      </w:r>
    </w:p>
    <w:p w:rsidR="0008482D" w:rsidRPr="00D6594D" w:rsidRDefault="001B71CB" w:rsidP="0008482D">
      <w:pPr>
        <w:widowControl w:val="0"/>
        <w:numPr>
          <w:ilvl w:val="0"/>
          <w:numId w:val="11"/>
        </w:numPr>
        <w:autoSpaceDE w:val="0"/>
        <w:autoSpaceDN w:val="0"/>
        <w:adjustRightInd w:val="0"/>
      </w:pPr>
      <w:r>
        <w:t>v</w:t>
      </w:r>
      <w:r w:rsidR="004E317C">
        <w:t>ýnosy</w:t>
      </w:r>
      <w:r>
        <w:t xml:space="preserve"> z transfúznych liekov (</w:t>
      </w:r>
      <w:r w:rsidRPr="00AC189D">
        <w:rPr>
          <w:sz w:val="16"/>
          <w:szCs w:val="16"/>
        </w:rPr>
        <w:t>vyšší predaj</w:t>
      </w:r>
      <w:r>
        <w:t>)</w:t>
      </w:r>
    </w:p>
    <w:p w:rsidR="00FB06C1" w:rsidRPr="00F10D5E" w:rsidRDefault="00FB06C1" w:rsidP="00FB06C1">
      <w:pPr>
        <w:widowControl w:val="0"/>
        <w:autoSpaceDE w:val="0"/>
        <w:autoSpaceDN w:val="0"/>
        <w:adjustRightInd w:val="0"/>
      </w:pPr>
    </w:p>
    <w:p w:rsidR="008E5D44" w:rsidRDefault="00961364" w:rsidP="00C85C9B">
      <w:pPr>
        <w:widowControl w:val="0"/>
        <w:autoSpaceDE w:val="0"/>
        <w:autoSpaceDN w:val="0"/>
        <w:adjustRightInd w:val="0"/>
        <w:ind w:firstLine="720"/>
        <w:jc w:val="both"/>
      </w:pPr>
      <w:r w:rsidRPr="009B6E3E">
        <w:t>Hospodár</w:t>
      </w:r>
      <w:r w:rsidR="002E2FCF" w:rsidRPr="009B6E3E">
        <w:t>enie</w:t>
      </w:r>
      <w:r w:rsidR="003D552B" w:rsidRPr="009B6E3E">
        <w:t xml:space="preserve"> v</w:t>
      </w:r>
      <w:r w:rsidR="009A7CAB" w:rsidRPr="009B6E3E">
        <w:t> </w:t>
      </w:r>
      <w:r w:rsidR="00F22EF9">
        <w:t>2</w:t>
      </w:r>
      <w:r w:rsidR="009A7CAB" w:rsidRPr="009B6E3E">
        <w:t>.štvrťroku</w:t>
      </w:r>
      <w:r w:rsidR="003D552B" w:rsidRPr="009B6E3E">
        <w:t xml:space="preserve"> 201</w:t>
      </w:r>
      <w:r w:rsidR="00F8663B">
        <w:t>8</w:t>
      </w:r>
      <w:r w:rsidR="001714BD" w:rsidRPr="009B6E3E">
        <w:t xml:space="preserve"> </w:t>
      </w:r>
      <w:r w:rsidR="009075B7">
        <w:t>ne</w:t>
      </w:r>
      <w:r w:rsidR="002E2FCF" w:rsidRPr="009B6E3E">
        <w:t>bolo</w:t>
      </w:r>
      <w:r w:rsidR="00A657D6" w:rsidRPr="009B6E3E">
        <w:t xml:space="preserve"> v časti nákladov</w:t>
      </w:r>
      <w:r w:rsidR="00F8663B">
        <w:t xml:space="preserve"> úplne</w:t>
      </w:r>
      <w:r w:rsidR="00FD6BE0" w:rsidRPr="009B6E3E">
        <w:t xml:space="preserve"> </w:t>
      </w:r>
      <w:r w:rsidR="009075B7">
        <w:t>v</w:t>
      </w:r>
      <w:r w:rsidR="00625F98">
        <w:t xml:space="preserve"> </w:t>
      </w:r>
      <w:r w:rsidR="009075B7">
        <w:t>rámci plánovaných</w:t>
      </w:r>
      <w:r w:rsidR="00D53188" w:rsidRPr="009B6E3E">
        <w:t xml:space="preserve"> </w:t>
      </w:r>
      <w:r w:rsidR="009075B7">
        <w:t>hodnôt</w:t>
      </w:r>
      <w:r w:rsidR="00555172" w:rsidRPr="009B6E3E">
        <w:t xml:space="preserve">. </w:t>
      </w:r>
      <w:r w:rsidR="00B62706" w:rsidRPr="009B6E3E">
        <w:t>Disproporcie oproti plánovaným hodnotám jednotlivých položiek sú spôsobené</w:t>
      </w:r>
      <w:r w:rsidR="00084625" w:rsidRPr="009B6E3E">
        <w:t xml:space="preserve"> </w:t>
      </w:r>
      <w:r w:rsidR="008C5124" w:rsidRPr="009B6E3E">
        <w:t>vonkajšími vplyvmi, ktor</w:t>
      </w:r>
      <w:r w:rsidR="00FD31ED" w:rsidRPr="009B6E3E">
        <w:t>é nie je možné úplne naplánovať, ako</w:t>
      </w:r>
      <w:r w:rsidR="00E22B5F" w:rsidRPr="009B6E3E">
        <w:t xml:space="preserve"> sú</w:t>
      </w:r>
      <w:r w:rsidR="008C5124" w:rsidRPr="009B6E3E">
        <w:t xml:space="preserve"> </w:t>
      </w:r>
      <w:r w:rsidR="00FD31ED" w:rsidRPr="009B6E3E">
        <w:t>z</w:t>
      </w:r>
      <w:r w:rsidR="00B62706" w:rsidRPr="009B6E3E">
        <w:t>men</w:t>
      </w:r>
      <w:r w:rsidR="00FD31ED" w:rsidRPr="009B6E3E">
        <w:t>y</w:t>
      </w:r>
      <w:r w:rsidR="00555172" w:rsidRPr="009B6E3E">
        <w:t xml:space="preserve"> </w:t>
      </w:r>
      <w:r w:rsidR="00F457BC" w:rsidRPr="009B6E3E">
        <w:t>v spotrebe</w:t>
      </w:r>
      <w:r w:rsidR="00FD31ED" w:rsidRPr="009B6E3E">
        <w:t xml:space="preserve"> liekov</w:t>
      </w:r>
      <w:r w:rsidR="00F457BC" w:rsidRPr="009B6E3E">
        <w:t xml:space="preserve">, špeciálneho zdravotníckeho materiálu, </w:t>
      </w:r>
      <w:r w:rsidR="00463660" w:rsidRPr="009B6E3E">
        <w:t>alebo</w:t>
      </w:r>
      <w:r w:rsidR="001714BD" w:rsidRPr="009B6E3E">
        <w:t xml:space="preserve"> </w:t>
      </w:r>
      <w:r w:rsidR="0008482D" w:rsidRPr="009B6E3E">
        <w:t>potrav</w:t>
      </w:r>
      <w:r w:rsidR="001F071C" w:rsidRPr="009B6E3E">
        <w:t>í</w:t>
      </w:r>
      <w:r w:rsidR="0008482D" w:rsidRPr="009B6E3E">
        <w:t>n</w:t>
      </w:r>
      <w:r w:rsidR="00F457BC" w:rsidRPr="009B6E3E">
        <w:t>,</w:t>
      </w:r>
      <w:r w:rsidR="00463660" w:rsidRPr="009B6E3E">
        <w:t xml:space="preserve"> ktoré sa </w:t>
      </w:r>
      <w:r w:rsidR="00463660" w:rsidRPr="007D2422">
        <w:t xml:space="preserve">úmerne </w:t>
      </w:r>
      <w:r w:rsidR="00F22EF9">
        <w:t>menia</w:t>
      </w:r>
      <w:r w:rsidR="00463660" w:rsidRPr="007D2422">
        <w:t xml:space="preserve"> s</w:t>
      </w:r>
      <w:r w:rsidR="00F22EF9">
        <w:t>o</w:t>
      </w:r>
      <w:r w:rsidR="00463660" w:rsidRPr="007D2422">
        <w:t> </w:t>
      </w:r>
      <w:r w:rsidR="00F22EF9">
        <w:t>zmenou</w:t>
      </w:r>
      <w:r w:rsidR="00463660" w:rsidRPr="007D2422">
        <w:t xml:space="preserve"> počtu pacientov, respektíve </w:t>
      </w:r>
      <w:r w:rsidR="00F22EF9">
        <w:t>zmenou</w:t>
      </w:r>
      <w:r w:rsidR="00463660" w:rsidRPr="007D2422">
        <w:t xml:space="preserve"> počtu ošetrovacích dní.</w:t>
      </w:r>
      <w:r w:rsidR="00D23E69">
        <w:t xml:space="preserve"> Pod pokles hospodárskeho výsledku oproti plánovaným hodnotám sa taktiež podpísal</w:t>
      </w:r>
      <w:r w:rsidR="00540894">
        <w:t xml:space="preserve"> časový nesúlad spustenia prevádzky urgentného príjmu 1.5.2018 a jeho následné </w:t>
      </w:r>
      <w:proofErr w:type="spellStart"/>
      <w:r w:rsidR="00540894">
        <w:t>zazmluvnenie</w:t>
      </w:r>
      <w:proofErr w:type="spellEnd"/>
      <w:r w:rsidR="00540894">
        <w:t xml:space="preserve"> zdravotnými poisťovňami až od 1.7.2108</w:t>
      </w:r>
      <w:r w:rsidR="004E2484">
        <w:t>.</w:t>
      </w:r>
    </w:p>
    <w:p w:rsidR="00A77001" w:rsidRPr="007D2422" w:rsidRDefault="008E5D44" w:rsidP="00C85C9B">
      <w:pPr>
        <w:widowControl w:val="0"/>
        <w:autoSpaceDE w:val="0"/>
        <w:autoSpaceDN w:val="0"/>
        <w:adjustRightInd w:val="0"/>
        <w:ind w:firstLine="720"/>
        <w:jc w:val="both"/>
      </w:pPr>
      <w:r>
        <w:t>V súhrne možno konštatovať, že na</w:t>
      </w:r>
      <w:r w:rsidR="009D794B">
        <w:t>priek nárastu</w:t>
      </w:r>
      <w:r w:rsidR="00A96513">
        <w:t xml:space="preserve"> niektorých nákladov</w:t>
      </w:r>
      <w:r w:rsidR="00673802">
        <w:t>,</w:t>
      </w:r>
      <w:r w:rsidR="00A96513">
        <w:t xml:space="preserve"> ako sú náklady</w:t>
      </w:r>
      <w:r w:rsidR="009D794B">
        <w:t xml:space="preserve"> na lieky</w:t>
      </w:r>
      <w:r>
        <w:t xml:space="preserve"> o </w:t>
      </w:r>
      <w:r w:rsidR="00625F98">
        <w:t>1</w:t>
      </w:r>
      <w:r w:rsidR="009D794B">
        <w:t>4</w:t>
      </w:r>
      <w:r>
        <w:t>,</w:t>
      </w:r>
      <w:r w:rsidR="00662643">
        <w:t>5</w:t>
      </w:r>
      <w:r>
        <w:t xml:space="preserve"> %, osobných nákladov o </w:t>
      </w:r>
      <w:r w:rsidR="00662643">
        <w:t>10</w:t>
      </w:r>
      <w:r>
        <w:t>,</w:t>
      </w:r>
      <w:r w:rsidR="00662643">
        <w:t>7</w:t>
      </w:r>
      <w:r>
        <w:t xml:space="preserve"> % a odpisov o </w:t>
      </w:r>
      <w:r w:rsidR="009D794B">
        <w:t>10</w:t>
      </w:r>
      <w:r>
        <w:t>,</w:t>
      </w:r>
      <w:r w:rsidR="00662643">
        <w:t>4</w:t>
      </w:r>
      <w:r>
        <w:t xml:space="preserve"> % oproti roku 201</w:t>
      </w:r>
      <w:r w:rsidR="009D794B">
        <w:t>7</w:t>
      </w:r>
      <w:r>
        <w:t xml:space="preserve"> je celkový nárast nákladov oproti roku 201</w:t>
      </w:r>
      <w:r w:rsidR="009D794B">
        <w:t>7</w:t>
      </w:r>
      <w:r>
        <w:t xml:space="preserve"> na úrovni </w:t>
      </w:r>
      <w:r w:rsidR="00662643">
        <w:t>11</w:t>
      </w:r>
      <w:r w:rsidR="00E72879">
        <w:t>,</w:t>
      </w:r>
      <w:r w:rsidR="00662643">
        <w:t>6</w:t>
      </w:r>
      <w:r w:rsidR="00E72879">
        <w:t xml:space="preserve"> %, pod čo sa podpísal </w:t>
      </w:r>
      <w:r>
        <w:t>pokles nákladov</w:t>
      </w:r>
      <w:r w:rsidR="009D794B">
        <w:t xml:space="preserve"> na služby</w:t>
      </w:r>
      <w:r>
        <w:t xml:space="preserve"> o </w:t>
      </w:r>
      <w:r w:rsidR="00662643">
        <w:t>30</w:t>
      </w:r>
      <w:r>
        <w:t>,</w:t>
      </w:r>
      <w:r w:rsidR="00662643">
        <w:t>5</w:t>
      </w:r>
      <w:r>
        <w:t xml:space="preserve"> %</w:t>
      </w:r>
      <w:r w:rsidR="00514C4D">
        <w:t xml:space="preserve"> a energií o </w:t>
      </w:r>
      <w:r w:rsidR="00662643">
        <w:t>7</w:t>
      </w:r>
      <w:r w:rsidR="00514C4D">
        <w:t>,</w:t>
      </w:r>
      <w:r w:rsidR="00662643">
        <w:t>7</w:t>
      </w:r>
      <w:r w:rsidR="00514C4D">
        <w:t xml:space="preserve"> %</w:t>
      </w:r>
      <w:r>
        <w:t>.</w:t>
      </w:r>
      <w:r w:rsidR="00F457BC" w:rsidRPr="007D2422">
        <w:t xml:space="preserve"> </w:t>
      </w:r>
    </w:p>
    <w:p w:rsidR="00EE009F" w:rsidRDefault="00AA1682" w:rsidP="00C85C9B">
      <w:pPr>
        <w:widowControl w:val="0"/>
        <w:autoSpaceDE w:val="0"/>
        <w:autoSpaceDN w:val="0"/>
        <w:adjustRightInd w:val="0"/>
        <w:ind w:firstLine="720"/>
        <w:jc w:val="both"/>
      </w:pPr>
      <w:r w:rsidRPr="007D2422">
        <w:t>Pozitívny je nárast výnosov oproti roku 201</w:t>
      </w:r>
      <w:r w:rsidR="00DB6B86">
        <w:t>7</w:t>
      </w:r>
      <w:r w:rsidR="009C0381">
        <w:t xml:space="preserve"> o </w:t>
      </w:r>
      <w:r w:rsidR="00264E22">
        <w:t>7</w:t>
      </w:r>
      <w:r w:rsidR="009C0381">
        <w:t>,</w:t>
      </w:r>
      <w:r w:rsidR="00264E22">
        <w:t>6</w:t>
      </w:r>
      <w:r w:rsidR="009C0381">
        <w:t xml:space="preserve"> %</w:t>
      </w:r>
      <w:r w:rsidRPr="007D2422">
        <w:t xml:space="preserve">. </w:t>
      </w:r>
      <w:r w:rsidR="002430B6" w:rsidRPr="007D2422">
        <w:t>V oblasti výnosov z predaja transfúznych liekov ĽN, n.o. zaznamen</w:t>
      </w:r>
      <w:r w:rsidR="007D2422">
        <w:t>áva</w:t>
      </w:r>
      <w:r w:rsidR="009C0381">
        <w:t xml:space="preserve"> </w:t>
      </w:r>
      <w:r w:rsidR="00DB6B86">
        <w:t>nárast</w:t>
      </w:r>
      <w:r w:rsidR="002430B6" w:rsidRPr="007D2422">
        <w:t xml:space="preserve"> </w:t>
      </w:r>
      <w:r w:rsidR="00DB6B86">
        <w:t>čo je pozitívne</w:t>
      </w:r>
      <w:r w:rsidR="00463660" w:rsidRPr="007D2422">
        <w:t xml:space="preserve"> </w:t>
      </w:r>
      <w:r w:rsidR="00DB6B86">
        <w:t xml:space="preserve">po období miernej </w:t>
      </w:r>
      <w:r w:rsidR="00463660" w:rsidRPr="007D2422">
        <w:t>stagnácie</w:t>
      </w:r>
      <w:r w:rsidR="002430B6" w:rsidRPr="007D2422">
        <w:t xml:space="preserve">. </w:t>
      </w:r>
      <w:r w:rsidR="00FB06C1" w:rsidRPr="007D2422">
        <w:t xml:space="preserve">Splnenie cieľa, t.j. dosiahnutie kladného hospodárskeho výsledku </w:t>
      </w:r>
      <w:r w:rsidR="002E2FCF" w:rsidRPr="007D2422">
        <w:t>bolo</w:t>
      </w:r>
      <w:r w:rsidR="00C80CF0" w:rsidRPr="007D2422">
        <w:t xml:space="preserve"> </w:t>
      </w:r>
      <w:r w:rsidR="002E2FCF" w:rsidRPr="007D2422">
        <w:t>naplnené</w:t>
      </w:r>
      <w:r w:rsidR="00FB06C1" w:rsidRPr="007D2422">
        <w:t>.</w:t>
      </w:r>
      <w:r w:rsidR="003D1F67">
        <w:t xml:space="preserve"> </w:t>
      </w:r>
    </w:p>
    <w:p w:rsidR="00520A93" w:rsidRDefault="00520A93" w:rsidP="00C85C9B">
      <w:pPr>
        <w:widowControl w:val="0"/>
        <w:autoSpaceDE w:val="0"/>
        <w:autoSpaceDN w:val="0"/>
        <w:adjustRightInd w:val="0"/>
        <w:ind w:firstLine="720"/>
        <w:jc w:val="both"/>
      </w:pPr>
    </w:p>
    <w:p w:rsidR="00A92B9F" w:rsidRDefault="00A92B9F" w:rsidP="002F7124">
      <w:pPr>
        <w:widowControl w:val="0"/>
        <w:autoSpaceDE w:val="0"/>
        <w:autoSpaceDN w:val="0"/>
        <w:adjustRightInd w:val="0"/>
        <w:jc w:val="center"/>
        <w:rPr>
          <w:noProof/>
        </w:rPr>
      </w:pPr>
    </w:p>
    <w:p w:rsidR="009068E1" w:rsidRDefault="003559BA" w:rsidP="002F7124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115E23D0" wp14:editId="4C8BE8E4">
            <wp:extent cx="5762625" cy="2213519"/>
            <wp:effectExtent l="0" t="0" r="9525" b="15875"/>
            <wp:docPr id="10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9F91C81" wp14:editId="5B7D04C4">
            <wp:extent cx="5044440" cy="3291840"/>
            <wp:effectExtent l="0" t="0" r="22860" b="22860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F04E2" w:rsidRDefault="00BF04E2" w:rsidP="00231BD8">
      <w:pPr>
        <w:widowControl w:val="0"/>
        <w:autoSpaceDE w:val="0"/>
        <w:autoSpaceDN w:val="0"/>
        <w:adjustRightInd w:val="0"/>
        <w:jc w:val="center"/>
        <w:rPr>
          <w:noProof/>
        </w:rPr>
      </w:pPr>
    </w:p>
    <w:p w:rsidR="00BF04E2" w:rsidRDefault="00BF04E2" w:rsidP="00231BD8">
      <w:pPr>
        <w:widowControl w:val="0"/>
        <w:autoSpaceDE w:val="0"/>
        <w:autoSpaceDN w:val="0"/>
        <w:adjustRightInd w:val="0"/>
        <w:jc w:val="center"/>
        <w:rPr>
          <w:noProof/>
        </w:rPr>
      </w:pPr>
    </w:p>
    <w:p w:rsidR="00A70AFF" w:rsidRDefault="00A70AFF" w:rsidP="00231BD8">
      <w:pPr>
        <w:widowControl w:val="0"/>
        <w:autoSpaceDE w:val="0"/>
        <w:autoSpaceDN w:val="0"/>
        <w:adjustRightInd w:val="0"/>
        <w:jc w:val="center"/>
        <w:rPr>
          <w:noProof/>
        </w:rPr>
      </w:pPr>
    </w:p>
    <w:p w:rsidR="00A768D2" w:rsidRDefault="003559BA" w:rsidP="00231BD8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69B40839" wp14:editId="3265E220">
            <wp:extent cx="5762625" cy="2729374"/>
            <wp:effectExtent l="0" t="0" r="9525" b="13970"/>
            <wp:docPr id="12" name="Graf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A1364" w:rsidRDefault="007A1364" w:rsidP="00231BD8">
      <w:pPr>
        <w:widowControl w:val="0"/>
        <w:autoSpaceDE w:val="0"/>
        <w:autoSpaceDN w:val="0"/>
        <w:adjustRightInd w:val="0"/>
        <w:jc w:val="center"/>
      </w:pPr>
    </w:p>
    <w:p w:rsidR="00BF04E2" w:rsidRDefault="00BF04E2" w:rsidP="00231BD8">
      <w:pPr>
        <w:widowControl w:val="0"/>
        <w:autoSpaceDE w:val="0"/>
        <w:autoSpaceDN w:val="0"/>
        <w:adjustRightInd w:val="0"/>
        <w:jc w:val="center"/>
      </w:pPr>
    </w:p>
    <w:p w:rsidR="007A1364" w:rsidRPr="002E0380" w:rsidRDefault="003559BA" w:rsidP="00231BD8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3D73A5B1" wp14:editId="6D36D505">
            <wp:extent cx="5762625" cy="1870433"/>
            <wp:effectExtent l="0" t="0" r="9525" b="15875"/>
            <wp:docPr id="13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068E1" w:rsidRDefault="009068E1" w:rsidP="006906C7">
      <w:pPr>
        <w:widowControl w:val="0"/>
        <w:autoSpaceDE w:val="0"/>
        <w:autoSpaceDN w:val="0"/>
        <w:adjustRightInd w:val="0"/>
        <w:jc w:val="center"/>
        <w:rPr>
          <w:noProof/>
        </w:rPr>
      </w:pPr>
    </w:p>
    <w:p w:rsidR="00E57F2E" w:rsidRDefault="003559BA" w:rsidP="006906C7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47140B18" wp14:editId="5FDFA06B">
            <wp:extent cx="5762625" cy="2287651"/>
            <wp:effectExtent l="0" t="0" r="9525" b="17780"/>
            <wp:docPr id="14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D52524" w:rsidRDefault="00D52524" w:rsidP="006906C7">
      <w:pPr>
        <w:widowControl w:val="0"/>
        <w:autoSpaceDE w:val="0"/>
        <w:autoSpaceDN w:val="0"/>
        <w:adjustRightInd w:val="0"/>
        <w:jc w:val="center"/>
      </w:pPr>
    </w:p>
    <w:p w:rsidR="00BF04E2" w:rsidRDefault="00BF04E2" w:rsidP="006906C7">
      <w:pPr>
        <w:widowControl w:val="0"/>
        <w:autoSpaceDE w:val="0"/>
        <w:autoSpaceDN w:val="0"/>
        <w:adjustRightInd w:val="0"/>
        <w:jc w:val="center"/>
      </w:pPr>
    </w:p>
    <w:tbl>
      <w:tblPr>
        <w:tblW w:w="919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4"/>
        <w:gridCol w:w="1255"/>
        <w:gridCol w:w="1255"/>
        <w:gridCol w:w="1255"/>
        <w:gridCol w:w="856"/>
        <w:gridCol w:w="856"/>
      </w:tblGrid>
      <w:tr w:rsidR="00D52524" w:rsidRPr="006F6C7C" w:rsidTr="00744FF0">
        <w:trPr>
          <w:trHeight w:val="27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6F6C7C" w:rsidRDefault="00D52524" w:rsidP="00D5252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6F6C7C">
              <w:rPr>
                <w:rFonts w:ascii="Arial" w:hAnsi="Arial" w:cs="Arial"/>
                <w:sz w:val="22"/>
                <w:szCs w:val="22"/>
                <w:lang w:eastAsia="zh-CN"/>
              </w:rPr>
              <w:t xml:space="preserve">Tabuľka č.1 Náklady k   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6F6C7C" w:rsidRDefault="00D52524" w:rsidP="00D52524">
            <w:pPr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6F6C7C" w:rsidRDefault="00D52524" w:rsidP="00D5252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6F6C7C" w:rsidRDefault="00D52524" w:rsidP="00D5252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6F6C7C" w:rsidRDefault="00D52524" w:rsidP="00D5252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6F6C7C" w:rsidRDefault="00D52524" w:rsidP="00D5252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6F6C7C">
              <w:rPr>
                <w:rFonts w:ascii="Arial" w:hAnsi="Arial" w:cs="Arial"/>
                <w:sz w:val="22"/>
                <w:szCs w:val="22"/>
                <w:lang w:eastAsia="zh-CN"/>
              </w:rPr>
              <w:t xml:space="preserve"> v EUR</w:t>
            </w:r>
          </w:p>
        </w:tc>
      </w:tr>
      <w:tr w:rsidR="00D52524" w:rsidRPr="006F6C7C" w:rsidTr="00744FF0">
        <w:trPr>
          <w:trHeight w:val="285"/>
        </w:trPr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6F6C7C" w:rsidRDefault="00D52524" w:rsidP="00D5252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Názov účtu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6F6C7C" w:rsidRDefault="00D52524" w:rsidP="00D52524">
            <w:pPr>
              <w:jc w:val="center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 xml:space="preserve">skutočnosť 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52524" w:rsidRPr="006F6C7C" w:rsidRDefault="00D52524" w:rsidP="00D525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plán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6F6C7C" w:rsidRDefault="00D52524" w:rsidP="00D52524">
            <w:pPr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skutočnosť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6F6C7C" w:rsidRDefault="00D52524" w:rsidP="00D525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% </w:t>
            </w:r>
            <w:proofErr w:type="spellStart"/>
            <w:r w:rsidRPr="006F6C7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pln</w:t>
            </w:r>
            <w:proofErr w:type="spellEnd"/>
            <w:r w:rsidRPr="006F6C7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2524" w:rsidRPr="005925F6" w:rsidRDefault="00D52524" w:rsidP="004337B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5925F6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Index        </w:t>
            </w:r>
            <w:r w:rsidR="00D47644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1</w:t>
            </w:r>
            <w:r w:rsidR="00A92C83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8</w:t>
            </w:r>
            <w:r w:rsidRPr="005925F6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 / </w:t>
            </w:r>
            <w:r w:rsidR="0065096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1</w:t>
            </w:r>
            <w:r w:rsidR="00A92C83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7</w:t>
            </w:r>
          </w:p>
        </w:tc>
      </w:tr>
      <w:tr w:rsidR="00D52524" w:rsidRPr="006F6C7C" w:rsidTr="00744FF0">
        <w:trPr>
          <w:trHeight w:val="285"/>
        </w:trPr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2524" w:rsidRPr="006F6C7C" w:rsidRDefault="00D52524" w:rsidP="00D52524">
            <w:pPr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6F6C7C" w:rsidRDefault="00D52524" w:rsidP="003559BA">
            <w:pPr>
              <w:jc w:val="center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3</w:t>
            </w:r>
            <w:r w:rsidR="003559BA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0</w:t>
            </w:r>
            <w:r w:rsidRPr="006F6C7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.</w:t>
            </w:r>
            <w:r w:rsidR="00A92C8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0</w:t>
            </w:r>
            <w:r w:rsidR="003559BA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6</w:t>
            </w:r>
            <w:r w:rsidR="00D47644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.20</w:t>
            </w:r>
            <w:r w:rsidR="00650967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1</w:t>
            </w:r>
            <w:r w:rsidR="00A92C8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52524" w:rsidRPr="006F6C7C" w:rsidRDefault="00D52524" w:rsidP="003559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3</w:t>
            </w:r>
            <w:r w:rsidR="003559BA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0</w:t>
            </w: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.</w:t>
            </w:r>
            <w:r w:rsidR="00A92C83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0</w:t>
            </w:r>
            <w:r w:rsidR="003559BA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6</w:t>
            </w: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.20</w:t>
            </w:r>
            <w:r w:rsidR="00D47644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1</w:t>
            </w:r>
            <w:r w:rsidR="00A92C83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52524" w:rsidRPr="006F6C7C" w:rsidRDefault="00D52524" w:rsidP="003559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3</w:t>
            </w:r>
            <w:r w:rsidR="003559BA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0</w:t>
            </w: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.</w:t>
            </w:r>
            <w:r w:rsidR="00A92C83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0</w:t>
            </w:r>
            <w:r w:rsidR="003559BA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6</w:t>
            </w:r>
            <w:r w:rsidR="00D47644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.201</w:t>
            </w:r>
            <w:r w:rsidR="00A92C83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2524" w:rsidRPr="006F6C7C" w:rsidRDefault="00D52524" w:rsidP="00D52524">
            <w:pP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2524" w:rsidRPr="005925F6" w:rsidRDefault="00D52524" w:rsidP="00D52524">
            <w:pP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</w:p>
        </w:tc>
      </w:tr>
      <w:tr w:rsidR="003559BA" w:rsidRPr="006F6C7C" w:rsidTr="0070050C">
        <w:trPr>
          <w:trHeight w:val="3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Spotreba materiálu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1 050 770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1 119 450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1 239 571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110,7%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118,0%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PHM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17 102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16 800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20 199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120,2%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118,1%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lieky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427 381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444 000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524 817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118,2%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122,8%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transfúzne lieky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64 172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64 080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57 057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89,0%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88,9%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ŠZM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335 289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355 800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364 508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102,4%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108,7%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potraviny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72 348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78 750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83 485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106,0%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115,4%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čistiace,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dezinf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>., pracie prostriedky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18 678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20 040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20 155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100,6%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107,9%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spotrebný materiál - drobný dlhodobý majetok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39 995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60 000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77 507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129,2%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193,8%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materiál, kancelársky, tlačiva, k tlačiarňam a PC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11 846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12 720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13 984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109,9%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118,0%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OOP,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prádlo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17 818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15 600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13 363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85,7%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75,0%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spotrebný materiál ostatný + náhradné diely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2 601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2 700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1 529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56,6%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58,8%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spotrebný materiál - údržba vlastná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25 413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31 620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38 894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123,0%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153,0%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spotrebný materiál zdravotnícky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18 128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17 340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24 073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138,8%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132,8%</w:t>
            </w:r>
          </w:p>
        </w:tc>
      </w:tr>
      <w:tr w:rsidR="003559BA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Spotreba energie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146 959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146 046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135 618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92,9%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92,3%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elektrická energia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57 390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61 140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64 236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105,1%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111,9%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voda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36 387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32 046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26 945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84,1%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74,1%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plyn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53 182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52 860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44 437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84,1%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83,6%</w:t>
            </w:r>
          </w:p>
        </w:tc>
      </w:tr>
      <w:tr w:rsidR="003559BA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Opravy a údržba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87 594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136 920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144 807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105,8%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165,3%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stavebná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33 214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11 220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21 959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195,7%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66,1%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DZS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6 612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7 500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11 889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158,5%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179,8%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zdravotechnika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35 800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102 000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96 427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94,5%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269,4%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ostatná + revízie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11 969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16 200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14 532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89,7%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121,4%</w:t>
            </w:r>
          </w:p>
        </w:tc>
      </w:tr>
      <w:tr w:rsidR="003559BA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Cestovné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9 440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9 600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10 369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108,0%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109,8%</w:t>
            </w:r>
          </w:p>
        </w:tc>
      </w:tr>
      <w:tr w:rsidR="003559BA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Náklady na správu n.o.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911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1 500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1 038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69,2%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113,9%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Ostatné služby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144 397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116 421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100 347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86,2%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69,5%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telefón. poplatky a poštovné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7 940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8 150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8 464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103,9%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106,6%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ostatné služby,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likv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. odpadov, </w:t>
            </w:r>
            <w:r>
              <w:rPr>
                <w:rFonts w:ascii="Arial CE" w:hAnsi="Arial CE" w:cs="Arial CE"/>
                <w:sz w:val="20"/>
                <w:szCs w:val="20"/>
              </w:rPr>
              <w:lastRenderedPageBreak/>
              <w:t>licenčné poplatky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lastRenderedPageBreak/>
              <w:t>59 778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47 388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53 678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113,3%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89,8%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leasing, nájom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13 096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11 581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5 241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45,3%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40,0%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vzdelávanie - školné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1 087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1 302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1 041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80,0%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95,8%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služby LSPP + ÚPS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62 497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48 000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31 922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66,5%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51,1%</w:t>
            </w:r>
          </w:p>
        </w:tc>
      </w:tr>
      <w:tr w:rsidR="003559BA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Osobné náklady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3 968 286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4 398 170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4 393 850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99,9%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110,7%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mzdové náklady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2 907 588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3 209 380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3 212 417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100,1%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110,5%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zákon. soc.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poist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. za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org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>.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1 016 883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1 128 790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1 125 441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99,7%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110,7%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iné sociálne náklady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43 815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60 000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55 992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93,3%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127,8%</w:t>
            </w:r>
          </w:p>
        </w:tc>
      </w:tr>
      <w:tr w:rsidR="003559BA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Dane a poplatky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16 292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11 620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15 489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133,3%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95,1%</w:t>
            </w:r>
          </w:p>
        </w:tc>
      </w:tr>
      <w:tr w:rsidR="003559BA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Pokuty a penále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2 371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2370,7%</w:t>
            </w:r>
          </w:p>
        </w:tc>
      </w:tr>
      <w:tr w:rsidR="003559BA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Úroky a kurzové straty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6 131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2 400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2 548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106,2%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41,6%</w:t>
            </w:r>
          </w:p>
        </w:tc>
      </w:tr>
      <w:tr w:rsidR="003559BA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Manká a škody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Iné ostatné náklady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50 210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50 554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58 612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115,9%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116,7%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iné ostatné náklady + DPH energie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39 010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39 204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43 031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109,8%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110,3%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Poistne náklady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9 712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6 283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12 995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206,8%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133,8%</w:t>
            </w:r>
          </w:p>
        </w:tc>
      </w:tr>
      <w:tr w:rsidR="003559BA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 - Finančné náklady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1 488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5 067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2 586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51,0%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173,7%</w:t>
            </w:r>
          </w:p>
        </w:tc>
      </w:tr>
      <w:tr w:rsidR="003559BA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Odpisy a investície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237 709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265 800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262 320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98,7%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110,4%</w:t>
            </w:r>
          </w:p>
        </w:tc>
      </w:tr>
      <w:tr w:rsidR="003559BA" w:rsidRPr="006F6C7C" w:rsidTr="0070050C">
        <w:trPr>
          <w:trHeight w:val="315"/>
        </w:trPr>
        <w:tc>
          <w:tcPr>
            <w:tcW w:w="371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 xml:space="preserve">Náklady na výrobu </w:t>
            </w:r>
            <w:proofErr w:type="spellStart"/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Transfúz</w:t>
            </w:r>
            <w:proofErr w:type="spellEnd"/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. liekov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38 121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35 400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55 316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156,3%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145,1%</w:t>
            </w:r>
          </w:p>
        </w:tc>
      </w:tr>
      <w:tr w:rsidR="003559BA" w:rsidRPr="006F6C7C" w:rsidTr="0070050C">
        <w:trPr>
          <w:trHeight w:val="33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 xml:space="preserve"> N á k l a d y   c e l k o m </w:t>
            </w:r>
          </w:p>
        </w:tc>
        <w:tc>
          <w:tcPr>
            <w:tcW w:w="1255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5 756 922</w:t>
            </w:r>
          </w:p>
        </w:tc>
        <w:tc>
          <w:tcPr>
            <w:tcW w:w="1255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6 293 881</w:t>
            </w:r>
          </w:p>
        </w:tc>
        <w:tc>
          <w:tcPr>
            <w:tcW w:w="1255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6 422 255</w:t>
            </w:r>
          </w:p>
        </w:tc>
        <w:tc>
          <w:tcPr>
            <w:tcW w:w="85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102,0%</w:t>
            </w:r>
          </w:p>
        </w:tc>
        <w:tc>
          <w:tcPr>
            <w:tcW w:w="85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111,6%</w:t>
            </w:r>
          </w:p>
        </w:tc>
      </w:tr>
    </w:tbl>
    <w:p w:rsidR="0029374D" w:rsidRDefault="0029374D" w:rsidP="006906C7">
      <w:pPr>
        <w:widowControl w:val="0"/>
        <w:autoSpaceDE w:val="0"/>
        <w:autoSpaceDN w:val="0"/>
        <w:adjustRightInd w:val="0"/>
        <w:jc w:val="center"/>
      </w:pPr>
    </w:p>
    <w:tbl>
      <w:tblPr>
        <w:tblW w:w="91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1255"/>
        <w:gridCol w:w="1255"/>
        <w:gridCol w:w="1255"/>
        <w:gridCol w:w="856"/>
        <w:gridCol w:w="856"/>
      </w:tblGrid>
      <w:tr w:rsidR="00D52524" w:rsidRPr="00D52524" w:rsidTr="00A70AFF">
        <w:trPr>
          <w:trHeight w:val="300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D52524" w:rsidRDefault="00D52524" w:rsidP="00D52524">
            <w:pPr>
              <w:rPr>
                <w:rFonts w:ascii="Arial" w:hAnsi="Arial"/>
                <w:lang w:eastAsia="zh-CN"/>
              </w:rPr>
            </w:pPr>
            <w:r w:rsidRPr="00D52524">
              <w:rPr>
                <w:rFonts w:ascii="Arial" w:hAnsi="Arial"/>
                <w:lang w:eastAsia="zh-CN"/>
              </w:rPr>
              <w:t>Tabuľka č. 2  Výnosy k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D52524" w:rsidRDefault="00D52524" w:rsidP="00D52524">
            <w:pPr>
              <w:jc w:val="center"/>
              <w:rPr>
                <w:rFonts w:ascii="Arial" w:hAnsi="Arial"/>
                <w:sz w:val="22"/>
                <w:szCs w:val="22"/>
                <w:lang w:eastAsia="zh-CN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D52524" w:rsidRDefault="00D52524" w:rsidP="00D52524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D52524" w:rsidRDefault="00D52524" w:rsidP="00D52524">
            <w:pPr>
              <w:jc w:val="right"/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D52524" w:rsidRDefault="00D52524" w:rsidP="00D52524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D52524" w:rsidRDefault="00D52524" w:rsidP="00D52524">
            <w:pPr>
              <w:rPr>
                <w:rFonts w:ascii="Arial" w:hAnsi="Arial"/>
                <w:sz w:val="20"/>
                <w:szCs w:val="20"/>
                <w:lang w:eastAsia="zh-CN"/>
              </w:rPr>
            </w:pPr>
            <w:r w:rsidRPr="00D52524">
              <w:rPr>
                <w:rFonts w:ascii="Arial" w:hAnsi="Arial"/>
                <w:sz w:val="20"/>
                <w:szCs w:val="20"/>
                <w:lang w:eastAsia="zh-CN"/>
              </w:rPr>
              <w:t>v EUR</w:t>
            </w:r>
          </w:p>
        </w:tc>
      </w:tr>
      <w:tr w:rsidR="00D52524" w:rsidRPr="00D52524" w:rsidTr="00A70AFF">
        <w:trPr>
          <w:trHeight w:val="285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D52524" w:rsidRDefault="00D52524" w:rsidP="00D52524">
            <w:pPr>
              <w:jc w:val="center"/>
              <w:rPr>
                <w:rFonts w:ascii="Arial" w:hAnsi="Arial"/>
                <w:b/>
                <w:bCs/>
                <w:lang w:eastAsia="zh-CN"/>
              </w:rPr>
            </w:pPr>
            <w:r w:rsidRPr="00D52524">
              <w:rPr>
                <w:rFonts w:ascii="Arial" w:hAnsi="Arial"/>
                <w:b/>
                <w:bCs/>
                <w:lang w:eastAsia="zh-CN"/>
              </w:rPr>
              <w:t xml:space="preserve"> Názov účtu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D52524" w:rsidRDefault="00D52524" w:rsidP="00D52524">
            <w:pPr>
              <w:jc w:val="center"/>
              <w:rPr>
                <w:rFonts w:ascii="Arial" w:hAnsi="Arial"/>
                <w:b/>
                <w:bCs/>
                <w:color w:val="808080"/>
                <w:sz w:val="18"/>
                <w:szCs w:val="18"/>
                <w:lang w:eastAsia="zh-CN"/>
              </w:rPr>
            </w:pPr>
            <w:r>
              <w:rPr>
                <w:rFonts w:ascii="Arial" w:hAnsi="Arial"/>
                <w:b/>
                <w:bCs/>
                <w:color w:val="808080"/>
                <w:sz w:val="18"/>
                <w:szCs w:val="18"/>
                <w:lang w:eastAsia="zh-CN"/>
              </w:rPr>
              <w:t>skutočnosť</w:t>
            </w:r>
            <w:r w:rsidRPr="00D52524">
              <w:rPr>
                <w:rFonts w:ascii="Arial" w:hAnsi="Arial"/>
                <w:b/>
                <w:bCs/>
                <w:color w:val="80808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52524" w:rsidRPr="00D52524" w:rsidRDefault="00D52524" w:rsidP="00D52524">
            <w:pPr>
              <w:jc w:val="center"/>
              <w:rPr>
                <w:rFonts w:ascii="Arial" w:hAnsi="Arial"/>
                <w:b/>
                <w:bCs/>
                <w:sz w:val="18"/>
                <w:szCs w:val="18"/>
                <w:lang w:eastAsia="zh-CN"/>
              </w:rPr>
            </w:pPr>
            <w:r w:rsidRPr="00D52524">
              <w:rPr>
                <w:rFonts w:ascii="Arial" w:hAnsi="Arial"/>
                <w:b/>
                <w:bCs/>
                <w:sz w:val="18"/>
                <w:szCs w:val="18"/>
                <w:lang w:eastAsia="zh-CN"/>
              </w:rPr>
              <w:t>plán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D52524" w:rsidRDefault="00D52524" w:rsidP="00D52524">
            <w:pPr>
              <w:rPr>
                <w:rFonts w:ascii="MS Sans Serif" w:hAnsi="MS Sans Serif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MS Sans Serif" w:hAnsi="MS Sans Serif"/>
                <w:b/>
                <w:bCs/>
                <w:sz w:val="18"/>
                <w:szCs w:val="18"/>
                <w:lang w:eastAsia="zh-CN"/>
              </w:rPr>
              <w:t>skutočnosť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D52524" w:rsidRDefault="00D52524" w:rsidP="00D52524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</w:pPr>
            <w:r w:rsidRPr="00D52524"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  <w:t xml:space="preserve">% </w:t>
            </w:r>
            <w:proofErr w:type="spellStart"/>
            <w:r w:rsidRPr="00D52524"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  <w:t>pln</w:t>
            </w:r>
            <w:proofErr w:type="spellEnd"/>
            <w:r w:rsidRPr="00D52524"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2524" w:rsidRPr="005925F6" w:rsidRDefault="00D47644" w:rsidP="004337B6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Index        1</w:t>
            </w:r>
            <w:r w:rsidR="00A92C83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8</w:t>
            </w:r>
            <w:r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 xml:space="preserve"> / </w:t>
            </w:r>
            <w:r w:rsidR="00650967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1</w:t>
            </w:r>
            <w:r w:rsidR="00A92C83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7</w:t>
            </w:r>
          </w:p>
        </w:tc>
      </w:tr>
      <w:tr w:rsidR="005D2239" w:rsidRPr="00D52524" w:rsidTr="00A70AFF">
        <w:trPr>
          <w:trHeight w:val="270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239" w:rsidRPr="00D52524" w:rsidRDefault="005D2239" w:rsidP="00D52524">
            <w:pPr>
              <w:rPr>
                <w:rFonts w:ascii="MS Sans Serif" w:hAnsi="MS Sans Serif"/>
                <w:sz w:val="20"/>
                <w:szCs w:val="20"/>
                <w:lang w:eastAsia="zh-CN"/>
              </w:rPr>
            </w:pPr>
            <w:r w:rsidRPr="00D52524">
              <w:rPr>
                <w:rFonts w:ascii="MS Sans Serif" w:hAnsi="MS Sans Serif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239" w:rsidRPr="006F6C7C" w:rsidRDefault="005D2239" w:rsidP="003559BA">
            <w:pPr>
              <w:jc w:val="center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3</w:t>
            </w:r>
            <w:r w:rsidR="003559BA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0</w:t>
            </w:r>
            <w:r w:rsidRPr="006F6C7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.</w:t>
            </w:r>
            <w:r w:rsidR="00A92C8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0</w:t>
            </w:r>
            <w:r w:rsidR="003559BA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6</w:t>
            </w:r>
            <w:r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.201</w:t>
            </w:r>
            <w:r w:rsidR="00A92C83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D2239" w:rsidRPr="006F6C7C" w:rsidRDefault="005D2239" w:rsidP="003559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3</w:t>
            </w:r>
            <w:r w:rsidR="003559BA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0</w:t>
            </w: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.</w:t>
            </w:r>
            <w:r w:rsidR="00A92C83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0</w:t>
            </w:r>
            <w:r w:rsidR="003559BA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6</w:t>
            </w: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.20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1</w:t>
            </w:r>
            <w:r w:rsidR="00A92C83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D2239" w:rsidRPr="006F6C7C" w:rsidRDefault="005D2239" w:rsidP="003559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3</w:t>
            </w:r>
            <w:r w:rsidR="003559BA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0</w:t>
            </w: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.</w:t>
            </w:r>
            <w:r w:rsidR="00A92C83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0</w:t>
            </w:r>
            <w:r w:rsidR="003559BA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6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.201</w:t>
            </w:r>
            <w:r w:rsidR="00A92C83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239" w:rsidRPr="00D52524" w:rsidRDefault="005D2239" w:rsidP="00D52524">
            <w:pPr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239" w:rsidRPr="005925F6" w:rsidRDefault="005D2239" w:rsidP="00D52524">
            <w:pPr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</w:p>
        </w:tc>
      </w:tr>
      <w:tr w:rsidR="003559BA" w:rsidRPr="00D52524" w:rsidTr="00A70AFF">
        <w:trPr>
          <w:trHeight w:val="300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Výnosy od ZP - výkony *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5 662 948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6 192 844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6 028 547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97,3%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106,5%</w:t>
            </w:r>
          </w:p>
        </w:tc>
      </w:tr>
      <w:tr w:rsidR="003559BA" w:rsidRPr="00D52524" w:rsidTr="00A70AFF">
        <w:trPr>
          <w:trHeight w:val="300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 xml:space="preserve">Výnosy od ZP - </w:t>
            </w:r>
            <w:proofErr w:type="spellStart"/>
            <w:r>
              <w:rPr>
                <w:rFonts w:ascii="Arial CE" w:hAnsi="Arial CE" w:cs="Arial CE"/>
                <w:sz w:val="22"/>
                <w:szCs w:val="22"/>
              </w:rPr>
              <w:t>pripoči</w:t>
            </w:r>
            <w:proofErr w:type="spellEnd"/>
            <w:r>
              <w:rPr>
                <w:rFonts w:ascii="Arial CE" w:hAnsi="Arial CE" w:cs="Arial CE"/>
                <w:sz w:val="22"/>
                <w:szCs w:val="22"/>
              </w:rPr>
              <w:t>. polo.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360 746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330 000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310 671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94,1%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86,1%</w:t>
            </w:r>
          </w:p>
        </w:tc>
      </w:tr>
      <w:tr w:rsidR="003559BA" w:rsidRPr="00D52524" w:rsidTr="00A70AFF">
        <w:trPr>
          <w:trHeight w:val="300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Aktivácia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94 766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90 600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104 785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115,7%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110,6%</w:t>
            </w:r>
          </w:p>
        </w:tc>
      </w:tr>
      <w:tr w:rsidR="003559BA" w:rsidRPr="00D52524" w:rsidTr="00A70AFF">
        <w:trPr>
          <w:trHeight w:val="300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Úroky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73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134,3%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184,1%</w:t>
            </w:r>
          </w:p>
        </w:tc>
      </w:tr>
      <w:tr w:rsidR="003559BA" w:rsidRPr="00D52524" w:rsidTr="00A70AFF">
        <w:trPr>
          <w:trHeight w:val="285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Nájomné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16 728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16 800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15 578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92,7%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93,1%</w:t>
            </w:r>
          </w:p>
        </w:tc>
      </w:tr>
      <w:tr w:rsidR="003559BA" w:rsidRPr="00D52524" w:rsidTr="00A70AFF">
        <w:trPr>
          <w:trHeight w:val="285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Výnosy z Transfúznych liekov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38 121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35 400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55 316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156,3%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145,1%</w:t>
            </w:r>
          </w:p>
        </w:tc>
      </w:tr>
      <w:tr w:rsidR="003559BA" w:rsidRPr="00D52524" w:rsidTr="00A70AFF">
        <w:trPr>
          <w:trHeight w:val="300"/>
        </w:trPr>
        <w:tc>
          <w:tcPr>
            <w:tcW w:w="367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Ostatné výnosy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265 616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297 000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414 699</w:t>
            </w:r>
          </w:p>
        </w:tc>
        <w:tc>
          <w:tcPr>
            <w:tcW w:w="85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139,6%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156,1%</w:t>
            </w:r>
          </w:p>
        </w:tc>
      </w:tr>
      <w:tr w:rsidR="003559BA" w:rsidRPr="00D52524" w:rsidTr="00A70AFF">
        <w:trPr>
          <w:trHeight w:val="315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59BA" w:rsidRDefault="003559BA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 xml:space="preserve"> VÝNOSY SPOLU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6 438 966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6 962 698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sz w:val="20"/>
                <w:szCs w:val="20"/>
              </w:rPr>
              <w:t>6 929 668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99,5%</w:t>
            </w:r>
          </w:p>
        </w:tc>
        <w:tc>
          <w:tcPr>
            <w:tcW w:w="85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107,6%</w:t>
            </w:r>
          </w:p>
        </w:tc>
      </w:tr>
      <w:tr w:rsidR="00B8074B" w:rsidRPr="00D52524" w:rsidTr="00A70AFF">
        <w:trPr>
          <w:trHeight w:val="270"/>
        </w:trPr>
        <w:tc>
          <w:tcPr>
            <w:tcW w:w="915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8074B" w:rsidRPr="00B8074B" w:rsidRDefault="00B8074B" w:rsidP="00D52524">
            <w:pPr>
              <w:rPr>
                <w:rFonts w:ascii="Arial" w:hAnsi="Arial"/>
                <w:sz w:val="16"/>
                <w:szCs w:val="16"/>
                <w:lang w:eastAsia="zh-CN"/>
              </w:rPr>
            </w:pPr>
          </w:p>
          <w:p w:rsidR="00B8074B" w:rsidRPr="005925F6" w:rsidRDefault="00B8074B" w:rsidP="00D52524">
            <w:pPr>
              <w:rPr>
                <w:rFonts w:ascii="Arial" w:hAnsi="Arial"/>
                <w:sz w:val="16"/>
                <w:szCs w:val="16"/>
                <w:lang w:eastAsia="zh-CN"/>
              </w:rPr>
            </w:pPr>
          </w:p>
        </w:tc>
      </w:tr>
      <w:tr w:rsidR="003559BA" w:rsidRPr="00D52524" w:rsidTr="00A70AFF">
        <w:trPr>
          <w:trHeight w:val="300"/>
        </w:trPr>
        <w:tc>
          <w:tcPr>
            <w:tcW w:w="36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9BA" w:rsidRPr="00517351" w:rsidRDefault="003559BA" w:rsidP="00A92C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17351">
              <w:rPr>
                <w:rFonts w:ascii="Arial" w:hAnsi="Arial" w:cs="Arial"/>
                <w:b/>
                <w:sz w:val="22"/>
                <w:szCs w:val="22"/>
              </w:rPr>
              <w:t xml:space="preserve"> Hospodársky výsledok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682 044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668 817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507 413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 w:rsidP="00A92C83">
            <w:pPr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59BA" w:rsidRDefault="003559BA" w:rsidP="00A92C83">
            <w:pPr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3559BA" w:rsidRPr="00D52524" w:rsidTr="00A70AFF">
        <w:trPr>
          <w:trHeight w:val="270"/>
        </w:trPr>
        <w:tc>
          <w:tcPr>
            <w:tcW w:w="3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9BA" w:rsidRPr="00517351" w:rsidRDefault="003559BA" w:rsidP="00A92C83">
            <w:pPr>
              <w:rPr>
                <w:rFonts w:ascii="Arial" w:hAnsi="Arial" w:cs="Arial"/>
                <w:sz w:val="22"/>
                <w:szCs w:val="22"/>
              </w:rPr>
            </w:pPr>
            <w:r w:rsidRPr="00517351">
              <w:rPr>
                <w:rFonts w:ascii="Arial" w:hAnsi="Arial" w:cs="Arial"/>
                <w:sz w:val="22"/>
                <w:szCs w:val="22"/>
              </w:rPr>
              <w:t xml:space="preserve"> Hospodársky výsledok bez odpisov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color w:val="808080"/>
                <w:sz w:val="20"/>
                <w:szCs w:val="20"/>
              </w:rPr>
              <w:t>919 753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934 617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559BA" w:rsidRPr="003559BA" w:rsidRDefault="003559B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3559BA">
              <w:rPr>
                <w:rFonts w:ascii="Arial CE" w:hAnsi="Arial CE" w:cs="Arial CE"/>
                <w:sz w:val="20"/>
                <w:szCs w:val="20"/>
              </w:rPr>
              <w:t>769 733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9BA" w:rsidRDefault="003559BA" w:rsidP="00A92C83"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59BA" w:rsidRDefault="003559BA" w:rsidP="00A92C83"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A70AFF" w:rsidRDefault="00A70AFF">
      <w:r>
        <w:br w:type="page"/>
      </w:r>
    </w:p>
    <w:tbl>
      <w:tblPr>
        <w:tblW w:w="964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191"/>
        <w:gridCol w:w="1191"/>
        <w:gridCol w:w="1191"/>
        <w:gridCol w:w="1191"/>
        <w:gridCol w:w="1191"/>
      </w:tblGrid>
      <w:tr w:rsidR="0004473D" w:rsidRPr="0004473D" w:rsidTr="00BF353A">
        <w:trPr>
          <w:trHeight w:val="270"/>
        </w:trPr>
        <w:tc>
          <w:tcPr>
            <w:tcW w:w="487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lang w:eastAsia="zh-CN"/>
              </w:rPr>
            </w:pPr>
            <w:r w:rsidRPr="0004473D">
              <w:rPr>
                <w:rFonts w:ascii="Arial" w:hAnsi="Arial"/>
                <w:lang w:eastAsia="zh-CN"/>
              </w:rPr>
              <w:lastRenderedPageBreak/>
              <w:t>Tabuľka č.</w:t>
            </w:r>
            <w:r>
              <w:rPr>
                <w:rFonts w:ascii="Arial" w:hAnsi="Arial"/>
                <w:lang w:eastAsia="zh-CN"/>
              </w:rPr>
              <w:t>3</w:t>
            </w:r>
            <w:r w:rsidRPr="0004473D">
              <w:rPr>
                <w:rFonts w:ascii="Arial" w:hAnsi="Arial"/>
                <w:lang w:eastAsia="zh-CN"/>
              </w:rPr>
              <w:t xml:space="preserve"> Náklady - štvrťročne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2"/>
                <w:szCs w:val="22"/>
                <w:lang w:eastAsia="zh-CN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  <w:r w:rsidRPr="0004473D">
              <w:rPr>
                <w:rFonts w:ascii="Arial" w:hAnsi="Arial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</w:tr>
      <w:tr w:rsidR="0004473D" w:rsidRPr="0004473D" w:rsidTr="00BF353A">
        <w:trPr>
          <w:trHeight w:val="12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</w:tr>
      <w:tr w:rsidR="0004473D" w:rsidRPr="0004473D" w:rsidTr="00BF353A">
        <w:trPr>
          <w:trHeight w:val="28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04473D" w:rsidRDefault="0004473D" w:rsidP="0004473D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eastAsia="zh-CN"/>
              </w:rPr>
            </w:pPr>
            <w:r w:rsidRPr="0004473D">
              <w:rPr>
                <w:rFonts w:ascii="Arial" w:hAnsi="Arial"/>
                <w:b/>
                <w:bCs/>
                <w:sz w:val="22"/>
                <w:szCs w:val="22"/>
                <w:lang w:eastAsia="zh-CN"/>
              </w:rPr>
              <w:t>Názov účtu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0E2CD2">
              <w:rPr>
                <w:rFonts w:ascii="Arial" w:hAnsi="Arial"/>
                <w:b/>
                <w:bCs/>
                <w:color w:val="808080"/>
                <w:sz w:val="16"/>
                <w:szCs w:val="16"/>
                <w:lang w:eastAsia="zh-CN"/>
              </w:rPr>
              <w:t>štvrťrok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</w:pPr>
            <w:r w:rsidRPr="000E2CD2"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  <w:t>rok 201</w:t>
            </w:r>
            <w:r w:rsidR="00A92C83"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  <w:t>8</w:t>
            </w:r>
          </w:p>
        </w:tc>
      </w:tr>
      <w:tr w:rsidR="000E2CD2" w:rsidRPr="0004473D" w:rsidTr="00BF353A">
        <w:trPr>
          <w:trHeight w:val="28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473D" w:rsidRPr="0004473D" w:rsidRDefault="0004473D" w:rsidP="0004473D">
            <w:pPr>
              <w:rPr>
                <w:rFonts w:ascii="Arial" w:hAnsi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04473D" w:rsidRPr="000E2CD2" w:rsidRDefault="0004473D" w:rsidP="0004473D">
            <w:pPr>
              <w:jc w:val="center"/>
              <w:rPr>
                <w:rFonts w:ascii="MS Sans Serif" w:hAnsi="MS Sans Serif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0E2CD2">
              <w:rPr>
                <w:rFonts w:ascii="MS Sans Serif" w:hAnsi="MS Sans Serif"/>
                <w:b/>
                <w:bCs/>
                <w:color w:val="808080"/>
                <w:sz w:val="16"/>
                <w:szCs w:val="16"/>
                <w:lang w:eastAsia="zh-CN"/>
              </w:rPr>
              <w:t>plán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0E2CD2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I.štvrťrok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0E2CD2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II.štvrťrok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0E2CD2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III.štvrťrok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0E2CD2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IV.štvrťrok</w:t>
            </w:r>
            <w:proofErr w:type="spellEnd"/>
          </w:p>
        </w:tc>
      </w:tr>
      <w:tr w:rsidR="00D22A39" w:rsidRPr="0004473D" w:rsidTr="00BF353A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Spotreba materiálu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551 055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576 183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663 389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PHM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8 400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9 623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10 575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lieky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222 000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250 903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273 914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</w:t>
            </w:r>
            <w:proofErr w:type="spellStart"/>
            <w:r w:rsidRPr="00D22A39">
              <w:rPr>
                <w:rFonts w:ascii="Arial CE" w:hAnsi="Arial CE" w:cs="Arial CE"/>
                <w:sz w:val="20"/>
                <w:szCs w:val="20"/>
              </w:rPr>
              <w:t>transúfzne</w:t>
            </w:r>
            <w:proofErr w:type="spellEnd"/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lieky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32 040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27 942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29 115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ŠZM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177 900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173 142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191 366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potraviny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39 375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41 909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41 576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čistiace, </w:t>
            </w:r>
            <w:proofErr w:type="spellStart"/>
            <w:r w:rsidRPr="00D22A39">
              <w:rPr>
                <w:rFonts w:ascii="Arial CE" w:hAnsi="Arial CE" w:cs="Arial CE"/>
                <w:sz w:val="20"/>
                <w:szCs w:val="20"/>
              </w:rPr>
              <w:t>dezinf</w:t>
            </w:r>
            <w:proofErr w:type="spellEnd"/>
            <w:r w:rsidRPr="00D22A39">
              <w:rPr>
                <w:rFonts w:ascii="Arial CE" w:hAnsi="Arial CE" w:cs="Arial CE"/>
                <w:sz w:val="20"/>
                <w:szCs w:val="20"/>
              </w:rPr>
              <w:t>., pracie prostriedky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10 020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9 944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10 211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spotrebný materiál - drobný dlhodobý majetok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30 000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18 472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59 035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materiál, kancelársky, tlačiva, k tlačiarňam a PC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6 360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6 968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7 017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OOP, </w:t>
            </w:r>
            <w:proofErr w:type="spellStart"/>
            <w:r w:rsidRPr="00D22A39">
              <w:rPr>
                <w:rFonts w:ascii="Arial CE" w:hAnsi="Arial CE" w:cs="Arial CE"/>
                <w:sz w:val="20"/>
                <w:szCs w:val="20"/>
              </w:rPr>
              <w:t>prádlo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7 800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7 259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6 105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4337B6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spotrebný materiál ostatný + náhradné diely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1 350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994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535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4337B6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spotrebný materiál - údržba vlastná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15 810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17 327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21 566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4337B6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spotrebný materiál zdravotnícky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8 670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11 699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12 374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Spotreba energie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69 304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79 496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56 122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elektrická energia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30 570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33 154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31 081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voda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16 023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13 676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13 269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plyn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22 711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32 665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11 772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Opravy a údržba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68 460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74 659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70 148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stavebná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5 610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10 211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11 749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DZS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3 750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5 896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5 993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zdravotechnika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51 000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53 403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43 024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ostatná + revízie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8 100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5 149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9 383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Cestovné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4 800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4 775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5 594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Náklady na správu n.o.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750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351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687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Ostatné služby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58 210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56 134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44 213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telefón. poplatky a poštovné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4 075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4 372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4 092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ostatné služby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23 694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31 638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22 041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leasing, nájom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5 790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2 708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2 533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vzdelávanie - školné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651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527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514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služby LSPP + ÚPS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24 000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16 889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15 033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Osobné náklady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2 235 170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2 147 416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2 246 434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mzdové náklady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1 631 380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1 569 682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1 642 735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zákon. soc. </w:t>
            </w:r>
            <w:proofErr w:type="spellStart"/>
            <w:r w:rsidRPr="00D22A39">
              <w:rPr>
                <w:rFonts w:ascii="Arial CE" w:hAnsi="Arial CE" w:cs="Arial CE"/>
                <w:sz w:val="20"/>
                <w:szCs w:val="20"/>
              </w:rPr>
              <w:t>poist</w:t>
            </w:r>
            <w:proofErr w:type="spellEnd"/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. za </w:t>
            </w:r>
            <w:proofErr w:type="spellStart"/>
            <w:r w:rsidRPr="00D22A39">
              <w:rPr>
                <w:rFonts w:ascii="Arial CE" w:hAnsi="Arial CE" w:cs="Arial CE"/>
                <w:sz w:val="20"/>
                <w:szCs w:val="20"/>
              </w:rPr>
              <w:t>org</w:t>
            </w:r>
            <w:proofErr w:type="spellEnd"/>
            <w:r w:rsidRPr="00D22A39">
              <w:rPr>
                <w:rFonts w:ascii="Arial CE" w:hAnsi="Arial CE" w:cs="Arial CE"/>
                <w:sz w:val="20"/>
                <w:szCs w:val="20"/>
              </w:rPr>
              <w:t>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573 790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548 662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576 780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iné sociálne náklady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30 000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29 073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26 920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Dane a poplatky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5 810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15 188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Pokuty a penále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271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2 100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Úroky a kurzové straty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1 200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1 592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955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Manká a škody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Iné ostatné náklady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25 277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34 480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24 131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iné ostatné náklady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19 602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24 515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18 516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 - Poistne náklady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3 141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8 942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4 054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lastRenderedPageBreak/>
              <w:t xml:space="preserve"> - Finančné náklady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2 534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1 023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1 562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Odpisy a zostatková cena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132 900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130 654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131 666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Náklady na výrobu </w:t>
            </w:r>
            <w:proofErr w:type="spellStart"/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Transfúz</w:t>
            </w:r>
            <w:proofErr w:type="spellEnd"/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. liekov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17 700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23 872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31 444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D22A39" w:rsidRPr="0004473D" w:rsidTr="00BF353A">
        <w:trPr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 N á k l a d y   c e l k o m </w:t>
            </w:r>
          </w:p>
        </w:tc>
        <w:tc>
          <w:tcPr>
            <w:tcW w:w="119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3 170 635</w:t>
            </w:r>
          </w:p>
        </w:tc>
        <w:tc>
          <w:tcPr>
            <w:tcW w:w="119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3 130 183</w:t>
            </w:r>
          </w:p>
        </w:tc>
        <w:tc>
          <w:tcPr>
            <w:tcW w:w="119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3 292 073</w:t>
            </w:r>
          </w:p>
        </w:tc>
        <w:tc>
          <w:tcPr>
            <w:tcW w:w="119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</w:tbl>
    <w:p w:rsidR="00197D5C" w:rsidRDefault="00197D5C" w:rsidP="009068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905C0" w:rsidRDefault="008905C0" w:rsidP="009068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910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6"/>
        <w:gridCol w:w="1191"/>
        <w:gridCol w:w="1191"/>
        <w:gridCol w:w="1191"/>
        <w:gridCol w:w="1191"/>
        <w:gridCol w:w="1191"/>
      </w:tblGrid>
      <w:tr w:rsidR="0004473D" w:rsidRPr="0004473D" w:rsidTr="00744FF0">
        <w:trPr>
          <w:trHeight w:val="300"/>
        </w:trPr>
        <w:tc>
          <w:tcPr>
            <w:tcW w:w="43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lang w:eastAsia="zh-CN"/>
              </w:rPr>
            </w:pPr>
            <w:r w:rsidRPr="0004473D">
              <w:rPr>
                <w:rFonts w:ascii="Arial" w:hAnsi="Arial"/>
                <w:lang w:eastAsia="zh-CN"/>
              </w:rPr>
              <w:t xml:space="preserve">Tabuľka č. </w:t>
            </w:r>
            <w:r>
              <w:rPr>
                <w:rFonts w:ascii="Arial" w:hAnsi="Arial"/>
                <w:lang w:eastAsia="zh-CN"/>
              </w:rPr>
              <w:t>4</w:t>
            </w:r>
            <w:r w:rsidRPr="0004473D">
              <w:rPr>
                <w:rFonts w:ascii="Arial" w:hAnsi="Arial"/>
                <w:lang w:eastAsia="zh-CN"/>
              </w:rPr>
              <w:t xml:space="preserve">  Výnosy - štvrťročne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jc w:val="right"/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jc w:val="right"/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jc w:val="right"/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</w:tr>
      <w:tr w:rsidR="0004473D" w:rsidRPr="0004473D" w:rsidTr="00744FF0">
        <w:trPr>
          <w:trHeight w:val="285"/>
        </w:trPr>
        <w:tc>
          <w:tcPr>
            <w:tcW w:w="314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04473D" w:rsidRDefault="0004473D" w:rsidP="0004473D">
            <w:pPr>
              <w:jc w:val="center"/>
              <w:rPr>
                <w:rFonts w:ascii="Arial" w:hAnsi="Arial"/>
                <w:b/>
                <w:bCs/>
                <w:lang w:eastAsia="zh-CN"/>
              </w:rPr>
            </w:pPr>
            <w:r w:rsidRPr="0004473D">
              <w:rPr>
                <w:rFonts w:ascii="Arial" w:hAnsi="Arial"/>
                <w:b/>
                <w:bCs/>
                <w:lang w:eastAsia="zh-CN"/>
              </w:rPr>
              <w:t xml:space="preserve"> Názov účtu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0E2CD2">
              <w:rPr>
                <w:rFonts w:ascii="Arial" w:hAnsi="Arial"/>
                <w:b/>
                <w:bCs/>
                <w:color w:val="808080"/>
                <w:sz w:val="16"/>
                <w:szCs w:val="16"/>
                <w:lang w:eastAsia="zh-CN"/>
              </w:rPr>
              <w:t>štvrťrok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473D" w:rsidRPr="0004473D" w:rsidRDefault="0004473D" w:rsidP="0004473D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</w:pPr>
            <w:r w:rsidRPr="0004473D"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  <w:t>rok 201</w:t>
            </w:r>
            <w:r w:rsidR="00A92C83"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  <w:t>8</w:t>
            </w:r>
          </w:p>
        </w:tc>
      </w:tr>
      <w:tr w:rsidR="0004473D" w:rsidRPr="0004473D" w:rsidTr="00744FF0">
        <w:trPr>
          <w:trHeight w:val="270"/>
        </w:trPr>
        <w:tc>
          <w:tcPr>
            <w:tcW w:w="314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04473D" w:rsidRDefault="0004473D" w:rsidP="0004473D">
            <w:pPr>
              <w:rPr>
                <w:rFonts w:ascii="MS Sans Serif" w:hAnsi="MS Sans Serif"/>
                <w:sz w:val="20"/>
                <w:szCs w:val="20"/>
                <w:lang w:eastAsia="zh-CN"/>
              </w:rPr>
            </w:pPr>
            <w:r w:rsidRPr="0004473D">
              <w:rPr>
                <w:rFonts w:ascii="MS Sans Serif" w:hAnsi="MS Sans Serif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0E2CD2" w:rsidRDefault="0004473D" w:rsidP="0004473D">
            <w:pPr>
              <w:jc w:val="center"/>
              <w:rPr>
                <w:rFonts w:ascii="MS Sans Serif" w:hAnsi="MS Sans Serif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0E2CD2">
              <w:rPr>
                <w:rFonts w:ascii="MS Sans Serif" w:hAnsi="MS Sans Serif"/>
                <w:b/>
                <w:bCs/>
                <w:color w:val="808080"/>
                <w:sz w:val="16"/>
                <w:szCs w:val="16"/>
                <w:lang w:eastAsia="zh-CN"/>
              </w:rPr>
              <w:t>plán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0E2CD2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I.štvrťrok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0E2CD2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II.štvrťrok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0E2CD2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III.štvrťrok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0E2CD2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IV.štvrťrok</w:t>
            </w:r>
            <w:proofErr w:type="spellEnd"/>
          </w:p>
        </w:tc>
      </w:tr>
      <w:tr w:rsidR="00D22A39" w:rsidRPr="0004473D" w:rsidTr="00744FF0">
        <w:trPr>
          <w:trHeight w:val="300"/>
        </w:trPr>
        <w:tc>
          <w:tcPr>
            <w:tcW w:w="31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Výnosy od ZP - výkony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3 096 422</w:t>
            </w:r>
          </w:p>
        </w:tc>
        <w:tc>
          <w:tcPr>
            <w:tcW w:w="119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2 986 268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3 042 279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744FF0">
        <w:trPr>
          <w:trHeight w:val="300"/>
        </w:trPr>
        <w:tc>
          <w:tcPr>
            <w:tcW w:w="31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 xml:space="preserve">Výnosy od ZP - </w:t>
            </w:r>
            <w:proofErr w:type="spellStart"/>
            <w:r w:rsidRPr="00D22A39">
              <w:rPr>
                <w:rFonts w:ascii="Arial CE" w:hAnsi="Arial CE" w:cs="Arial CE"/>
                <w:sz w:val="20"/>
                <w:szCs w:val="20"/>
              </w:rPr>
              <w:t>pripoči</w:t>
            </w:r>
            <w:proofErr w:type="spellEnd"/>
            <w:r w:rsidRPr="00D22A39">
              <w:rPr>
                <w:rFonts w:ascii="Arial CE" w:hAnsi="Arial CE" w:cs="Arial CE"/>
                <w:sz w:val="20"/>
                <w:szCs w:val="20"/>
              </w:rPr>
              <w:t>. polo.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165 000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155 422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155 249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744FF0">
        <w:trPr>
          <w:trHeight w:val="300"/>
        </w:trPr>
        <w:tc>
          <w:tcPr>
            <w:tcW w:w="3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Aktivácia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45 300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49 829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54 956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744FF0">
        <w:trPr>
          <w:trHeight w:val="300"/>
        </w:trPr>
        <w:tc>
          <w:tcPr>
            <w:tcW w:w="3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Úroky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27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34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744FF0">
        <w:trPr>
          <w:trHeight w:val="285"/>
        </w:trPr>
        <w:tc>
          <w:tcPr>
            <w:tcW w:w="3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Nájomné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8 400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7 804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7 773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744FF0">
        <w:trPr>
          <w:trHeight w:val="285"/>
        </w:trPr>
        <w:tc>
          <w:tcPr>
            <w:tcW w:w="3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Výnosy z Transfúznych liekov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17 700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23 872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31 444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744FF0">
        <w:trPr>
          <w:trHeight w:val="300"/>
        </w:trPr>
        <w:tc>
          <w:tcPr>
            <w:tcW w:w="314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Ostatné výnosy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color w:val="808080"/>
                <w:sz w:val="20"/>
                <w:szCs w:val="20"/>
              </w:rPr>
              <w:t>148 500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223 216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sz w:val="20"/>
                <w:szCs w:val="20"/>
              </w:rPr>
              <w:t>191 483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</w:p>
        </w:tc>
      </w:tr>
      <w:tr w:rsidR="00D22A39" w:rsidRPr="0004473D" w:rsidTr="00744FF0">
        <w:trPr>
          <w:trHeight w:val="330"/>
        </w:trPr>
        <w:tc>
          <w:tcPr>
            <w:tcW w:w="3146" w:type="dxa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 VÝNOSY SPOLU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3 481 349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3 446 445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3 483 223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436778" w:rsidRPr="0004473D" w:rsidTr="00744FF0">
        <w:trPr>
          <w:trHeight w:val="270"/>
        </w:trPr>
        <w:tc>
          <w:tcPr>
            <w:tcW w:w="31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6778" w:rsidRPr="0004473D" w:rsidRDefault="00436778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36778" w:rsidRPr="0004473D" w:rsidTr="00744FF0">
        <w:trPr>
          <w:trHeight w:val="300"/>
        </w:trPr>
        <w:tc>
          <w:tcPr>
            <w:tcW w:w="31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6778" w:rsidRPr="0004473D" w:rsidRDefault="00436778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22A39" w:rsidRPr="0004473D" w:rsidTr="00744FF0">
        <w:trPr>
          <w:trHeight w:val="315"/>
        </w:trPr>
        <w:tc>
          <w:tcPr>
            <w:tcW w:w="3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 Hospodársky výsledok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310 714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316 263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>191 150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</w:p>
        </w:tc>
      </w:tr>
      <w:tr w:rsidR="00D22A39" w:rsidRPr="0004473D" w:rsidTr="00744FF0">
        <w:trPr>
          <w:trHeight w:val="270"/>
        </w:trPr>
        <w:tc>
          <w:tcPr>
            <w:tcW w:w="31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2A39" w:rsidRPr="00D22A39" w:rsidRDefault="00D22A39">
            <w:pPr>
              <w:rPr>
                <w:rFonts w:ascii="Arial CE" w:hAnsi="Arial CE" w:cs="Arial CE"/>
                <w:sz w:val="16"/>
                <w:szCs w:val="16"/>
              </w:rPr>
            </w:pPr>
            <w:r w:rsidRPr="00D22A39">
              <w:rPr>
                <w:rFonts w:ascii="Arial CE" w:hAnsi="Arial CE" w:cs="Arial CE"/>
                <w:sz w:val="16"/>
                <w:szCs w:val="16"/>
              </w:rPr>
              <w:t xml:space="preserve"> Hospodársky výsledok bez odpisov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color w:val="808080"/>
                <w:sz w:val="16"/>
                <w:szCs w:val="16"/>
              </w:rPr>
            </w:pPr>
            <w:r w:rsidRPr="00D22A39">
              <w:rPr>
                <w:rFonts w:ascii="Arial CE" w:hAnsi="Arial CE" w:cs="Arial CE"/>
                <w:color w:val="808080"/>
                <w:sz w:val="16"/>
                <w:szCs w:val="16"/>
              </w:rPr>
              <w:t>443 614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D22A39">
              <w:rPr>
                <w:rFonts w:ascii="Arial CE" w:hAnsi="Arial CE" w:cs="Arial CE"/>
                <w:sz w:val="16"/>
                <w:szCs w:val="16"/>
              </w:rPr>
              <w:t>446 916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D22A39">
              <w:rPr>
                <w:rFonts w:ascii="Arial CE" w:hAnsi="Arial CE" w:cs="Arial CE"/>
                <w:sz w:val="16"/>
                <w:szCs w:val="16"/>
              </w:rPr>
              <w:t>322 817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22A39" w:rsidRPr="00D22A39" w:rsidRDefault="00D22A39" w:rsidP="00A92C83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22A39" w:rsidRDefault="00D22A39" w:rsidP="00A92C83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</w:p>
        </w:tc>
      </w:tr>
    </w:tbl>
    <w:p w:rsidR="0004473D" w:rsidRDefault="0004473D" w:rsidP="009068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905C0" w:rsidRDefault="008905C0" w:rsidP="009068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905C0" w:rsidRDefault="001F27C9" w:rsidP="009068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041FAB">
        <w:rPr>
          <w:b/>
          <w:sz w:val="28"/>
          <w:szCs w:val="28"/>
        </w:rPr>
        <w:lastRenderedPageBreak/>
        <w:t>Rozpočet príjmov a</w:t>
      </w:r>
      <w:r w:rsidR="00253B12" w:rsidRPr="00041FAB">
        <w:rPr>
          <w:b/>
          <w:sz w:val="28"/>
          <w:szCs w:val="28"/>
        </w:rPr>
        <w:t> </w:t>
      </w:r>
      <w:r w:rsidRPr="00041FAB">
        <w:rPr>
          <w:b/>
          <w:sz w:val="28"/>
          <w:szCs w:val="28"/>
        </w:rPr>
        <w:t>výdavkov</w:t>
      </w:r>
      <w:r w:rsidR="00253B12" w:rsidRPr="00041FAB">
        <w:rPr>
          <w:b/>
          <w:sz w:val="28"/>
          <w:szCs w:val="28"/>
        </w:rPr>
        <w:t xml:space="preserve"> k 3</w:t>
      </w:r>
      <w:r w:rsidR="00EC598D">
        <w:rPr>
          <w:b/>
          <w:sz w:val="28"/>
          <w:szCs w:val="28"/>
        </w:rPr>
        <w:t>0</w:t>
      </w:r>
      <w:r w:rsidR="00253B12" w:rsidRPr="00041FAB">
        <w:rPr>
          <w:b/>
          <w:sz w:val="28"/>
          <w:szCs w:val="28"/>
        </w:rPr>
        <w:t>.</w:t>
      </w:r>
      <w:r w:rsidR="0070272A" w:rsidRPr="00041FAB">
        <w:rPr>
          <w:b/>
          <w:sz w:val="28"/>
          <w:szCs w:val="28"/>
        </w:rPr>
        <w:t>0</w:t>
      </w:r>
      <w:r w:rsidR="00EC598D">
        <w:rPr>
          <w:b/>
          <w:sz w:val="28"/>
          <w:szCs w:val="28"/>
        </w:rPr>
        <w:t>6</w:t>
      </w:r>
      <w:r w:rsidR="00253B12" w:rsidRPr="00041FAB">
        <w:rPr>
          <w:b/>
          <w:sz w:val="28"/>
          <w:szCs w:val="28"/>
        </w:rPr>
        <w:t>.201</w:t>
      </w:r>
      <w:r w:rsidR="0070272A" w:rsidRPr="00041FAB">
        <w:rPr>
          <w:b/>
          <w:sz w:val="28"/>
          <w:szCs w:val="28"/>
        </w:rPr>
        <w:t>8</w:t>
      </w:r>
      <w:r w:rsidR="00252890" w:rsidRPr="00041FAB">
        <w:rPr>
          <w:b/>
          <w:sz w:val="28"/>
          <w:szCs w:val="28"/>
        </w:rPr>
        <w:t xml:space="preserve"> </w:t>
      </w:r>
      <w:r w:rsidR="00252890" w:rsidRPr="00041FAB">
        <w:t>v</w:t>
      </w:r>
      <w:r w:rsidR="00252890" w:rsidRPr="0070272A">
        <w:t xml:space="preserve"> €</w:t>
      </w:r>
    </w:p>
    <w:p w:rsidR="00B23CBC" w:rsidRDefault="00B23CBC" w:rsidP="009068E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B23CBC" w:rsidRDefault="00B23CBC" w:rsidP="009068E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6951C8" w:rsidRPr="00253B12" w:rsidRDefault="00253B12" w:rsidP="009068E1">
      <w:pPr>
        <w:widowControl w:val="0"/>
        <w:autoSpaceDE w:val="0"/>
        <w:autoSpaceDN w:val="0"/>
        <w:adjustRightInd w:val="0"/>
        <w:jc w:val="both"/>
        <w:rPr>
          <w:b/>
        </w:rPr>
      </w:pPr>
      <w:r w:rsidRPr="00253B12">
        <w:rPr>
          <w:b/>
        </w:rPr>
        <w:t>FIN  1 - 12  Príjmy  spolu</w:t>
      </w:r>
      <w:r w:rsidR="00B23CBC">
        <w:rPr>
          <w:b/>
        </w:rPr>
        <w:t>:</w:t>
      </w:r>
    </w:p>
    <w:p w:rsidR="001F27C9" w:rsidRDefault="001F27C9" w:rsidP="009068E1">
      <w:pPr>
        <w:widowControl w:val="0"/>
        <w:autoSpaceDE w:val="0"/>
        <w:autoSpaceDN w:val="0"/>
        <w:adjustRightInd w:val="0"/>
        <w:jc w:val="both"/>
      </w:pPr>
    </w:p>
    <w:tbl>
      <w:tblPr>
        <w:tblW w:w="49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7"/>
        <w:gridCol w:w="1174"/>
        <w:gridCol w:w="1318"/>
        <w:gridCol w:w="1349"/>
        <w:gridCol w:w="1263"/>
      </w:tblGrid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5A9" w:rsidRDefault="001505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51584" behindDoc="0" locked="0" layoutInCell="1" allowOverlap="1" wp14:anchorId="70A0DEB4" wp14:editId="668C9FA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1420" cy="3002280"/>
                  <wp:effectExtent l="0" t="0" r="0" b="0"/>
                  <wp:wrapNone/>
                  <wp:docPr id="52229" name="Obrázok 52229" descr="analysis_prev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29" name="BEx78YFHKBF1ES0GS274VUYP9NGH" descr="analysis_prev" hidden="1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0" cy="294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40"/>
            </w:tblGrid>
            <w:tr w:rsidR="001505A9" w:rsidTr="001505A9">
              <w:trPr>
                <w:trHeight w:val="216"/>
                <w:tblCellSpacing w:w="0" w:type="dxa"/>
              </w:trPr>
              <w:tc>
                <w:tcPr>
                  <w:tcW w:w="5140" w:type="dxa"/>
                  <w:tcBorders>
                    <w:top w:val="single" w:sz="4" w:space="0" w:color="848484"/>
                    <w:left w:val="single" w:sz="4" w:space="0" w:color="848484"/>
                    <w:bottom w:val="single" w:sz="4" w:space="0" w:color="848484"/>
                    <w:right w:val="single" w:sz="4" w:space="0" w:color="848484"/>
                  </w:tcBorders>
                  <w:shd w:val="clear" w:color="8DB0DB" w:fill="D5E3F2"/>
                  <w:noWrap/>
                  <w:tcMar>
                    <w:top w:w="0" w:type="dxa"/>
                    <w:left w:w="18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05A9" w:rsidRDefault="001505A9">
                  <w:pPr>
                    <w:ind w:firstLineChars="100" w:firstLine="141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bookmarkStart w:id="0" w:name="RANGE!B23:F44"/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Hl.kateg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</w:t>
                  </w:r>
                  <w:bookmarkEnd w:id="0"/>
                </w:p>
              </w:tc>
            </w:tr>
          </w:tbl>
          <w:p w:rsidR="001505A9" w:rsidRDefault="00150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2" w:type="pct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EFF6FB"/>
            <w:noWrap/>
            <w:vAlign w:val="center"/>
            <w:hideMark/>
          </w:tcPr>
          <w:p w:rsidR="001505A9" w:rsidRDefault="001505A9">
            <w:pPr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Schválený rozpočet</w:t>
            </w:r>
          </w:p>
        </w:tc>
        <w:tc>
          <w:tcPr>
            <w:tcW w:w="721" w:type="pct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EFF6FB"/>
            <w:noWrap/>
            <w:vAlign w:val="center"/>
            <w:hideMark/>
          </w:tcPr>
          <w:p w:rsidR="001505A9" w:rsidRDefault="001505A9">
            <w:pPr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Rozpočet po zmenách</w:t>
            </w:r>
          </w:p>
        </w:tc>
        <w:tc>
          <w:tcPr>
            <w:tcW w:w="738" w:type="pct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EFF6FB"/>
            <w:noWrap/>
            <w:vAlign w:val="center"/>
            <w:hideMark/>
          </w:tcPr>
          <w:p w:rsidR="001505A9" w:rsidRDefault="001505A9">
            <w:pPr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Očakávaná skutočnosť</w:t>
            </w:r>
          </w:p>
        </w:tc>
        <w:tc>
          <w:tcPr>
            <w:tcW w:w="691" w:type="pct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EFF6FB"/>
            <w:noWrap/>
            <w:vAlign w:val="center"/>
            <w:hideMark/>
          </w:tcPr>
          <w:p w:rsidR="001505A9" w:rsidRDefault="001505A9">
            <w:pPr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Skutočnosť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FFFFCC"/>
            <w:noWrap/>
            <w:vAlign w:val="center"/>
            <w:hideMark/>
          </w:tcPr>
          <w:p w:rsidR="001505A9" w:rsidRDefault="001505A9">
            <w:pPr>
              <w:ind w:firstLineChars="100" w:firstLine="14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Celkový výsledok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12 956 474,00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13 563 464,00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13 394 264,00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7 484 212,52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B7CFE8"/>
            <w:noWrap/>
            <w:vAlign w:val="center"/>
            <w:hideMark/>
          </w:tcPr>
          <w:p w:rsidR="001505A9" w:rsidRDefault="001505A9">
            <w:pPr>
              <w:ind w:firstLineChars="200" w:firstLine="2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200 Nedaňové príjmy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12 787 474,00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13 394 464,00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13 394 264,00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7 355 029,36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C3D6EB"/>
            <w:noWrap/>
            <w:vAlign w:val="center"/>
            <w:hideMark/>
          </w:tcPr>
          <w:p w:rsidR="001505A9" w:rsidRDefault="001505A9">
            <w:pPr>
              <w:ind w:firstLineChars="300" w:firstLine="4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210 Príjmy z podnikania a z vlastníctva majetku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32 000,00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32 000,00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32 000,00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13 752,01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212 Príjmy z vlastníctva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32 000,00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32 000,00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32 000,00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13 752,01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212003 Z prenajatých budov, priestorov a objektov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32 000,00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32 000,00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32 000,00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13 752,01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C3D6EB"/>
            <w:noWrap/>
            <w:vAlign w:val="center"/>
            <w:hideMark/>
          </w:tcPr>
          <w:p w:rsidR="001505A9" w:rsidRDefault="001505A9">
            <w:pPr>
              <w:ind w:firstLineChars="300" w:firstLine="4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220 Administratívne poplatky a iné poplatky a platby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12 755 174,00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13 362 164,00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13 362 164,00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7 341 179,29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223 Poplatky a platby z nepriemyselného a náhodného predaj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12 755 174,00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13 362 164,00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13 362 164,00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7 341 179,29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223001 Za predaj výrobkov, tovarov a služieb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12 717 174,00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13 324 164,00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13 324 164,00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7 324 788,01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223003 Za stravné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38 000,00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38 000,00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38 000,00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16 391,28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C3D6EB"/>
            <w:noWrap/>
            <w:vAlign w:val="center"/>
            <w:hideMark/>
          </w:tcPr>
          <w:p w:rsidR="001505A9" w:rsidRDefault="001505A9">
            <w:pPr>
              <w:ind w:firstLineChars="300" w:firstLine="4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240 Úroky z tuzemských úverov, pôžičiek, návratných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finanč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100,00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100,00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100,00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72,53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242 Z vkladov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100,00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100,00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100,00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72,53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242    Z vkladov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72,53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C3D6EB"/>
            <w:noWrap/>
            <w:vAlign w:val="center"/>
            <w:hideMark/>
          </w:tcPr>
          <w:p w:rsidR="001505A9" w:rsidRDefault="001505A9">
            <w:pPr>
              <w:ind w:firstLineChars="300" w:firstLine="4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290 Iné nedaňové príjmy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200,00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200,00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25,53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292 Ostatné príjmy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200,00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200,00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25,53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292012 Z dobropisov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200,00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200,00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25,53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B7CFE8"/>
            <w:noWrap/>
            <w:vAlign w:val="center"/>
            <w:hideMark/>
          </w:tcPr>
          <w:p w:rsidR="001505A9" w:rsidRDefault="001505A9">
            <w:pPr>
              <w:ind w:firstLineChars="200" w:firstLine="2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300 Granty a transfery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169 000,00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169 000,00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129 183,16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C3D6EB"/>
            <w:noWrap/>
            <w:vAlign w:val="center"/>
            <w:hideMark/>
          </w:tcPr>
          <w:p w:rsidR="001505A9" w:rsidRDefault="001505A9">
            <w:pPr>
              <w:ind w:firstLineChars="300" w:firstLine="4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310 Tuzemské bežné granty a transfery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169 000,00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169 000,00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129 183,16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311 Granty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7 000,00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7 000,00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8 228,54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311    Granty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7 000,00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7 000,00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8 228,54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312 Transfery v rámci verejnej správy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162 000,00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162 000,00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120 954,62</w:t>
            </w:r>
          </w:p>
        </w:tc>
      </w:tr>
      <w:tr w:rsidR="001505A9" w:rsidTr="001505A9">
        <w:trPr>
          <w:trHeight w:val="216"/>
        </w:trPr>
        <w:tc>
          <w:tcPr>
            <w:tcW w:w="2208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312011 Od ostatných subjektov verejnej správy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162 000,00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162 000,00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120 954,62</w:t>
            </w:r>
          </w:p>
        </w:tc>
      </w:tr>
    </w:tbl>
    <w:p w:rsidR="00253B12" w:rsidRDefault="00253B12" w:rsidP="009068E1">
      <w:pPr>
        <w:widowControl w:val="0"/>
        <w:autoSpaceDE w:val="0"/>
        <w:autoSpaceDN w:val="0"/>
        <w:adjustRightInd w:val="0"/>
        <w:jc w:val="both"/>
      </w:pPr>
    </w:p>
    <w:p w:rsidR="00B23CBC" w:rsidRDefault="00B23CBC" w:rsidP="009068E1">
      <w:pPr>
        <w:widowControl w:val="0"/>
        <w:autoSpaceDE w:val="0"/>
        <w:autoSpaceDN w:val="0"/>
        <w:adjustRightInd w:val="0"/>
        <w:jc w:val="both"/>
      </w:pPr>
    </w:p>
    <w:p w:rsidR="00602AAE" w:rsidRDefault="00602AAE" w:rsidP="009068E1">
      <w:pPr>
        <w:widowControl w:val="0"/>
        <w:autoSpaceDE w:val="0"/>
        <w:autoSpaceDN w:val="0"/>
        <w:adjustRightInd w:val="0"/>
        <w:jc w:val="both"/>
        <w:rPr>
          <w:b/>
        </w:rPr>
      </w:pPr>
      <w:r w:rsidRPr="00602AAE">
        <w:rPr>
          <w:b/>
        </w:rPr>
        <w:t>FIN  1 - 12  Výdavky spolu</w:t>
      </w:r>
      <w:r w:rsidR="00B23CBC">
        <w:rPr>
          <w:b/>
        </w:rPr>
        <w:t>:</w:t>
      </w:r>
    </w:p>
    <w:p w:rsidR="00602AAE" w:rsidRPr="00602AAE" w:rsidRDefault="00602AAE" w:rsidP="009068E1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49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8"/>
        <w:gridCol w:w="1143"/>
        <w:gridCol w:w="1283"/>
        <w:gridCol w:w="1313"/>
        <w:gridCol w:w="1364"/>
      </w:tblGrid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5A9" w:rsidRDefault="001505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52608" behindDoc="0" locked="0" layoutInCell="1" allowOverlap="1" wp14:anchorId="3EA66C2C" wp14:editId="1190A7A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741920" cy="12428220"/>
                  <wp:effectExtent l="0" t="0" r="0" b="0"/>
                  <wp:wrapNone/>
                  <wp:docPr id="56329" name="Obrázok 56329" descr="analysis_prev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29" name="BEx7GPQZJYCQJB8RMSZH3SIEO3ZA" descr="analysis_prev" hidden="1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0" cy="1264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53632" behindDoc="0" locked="0" layoutInCell="1" allowOverlap="1" wp14:anchorId="261DA2A8" wp14:editId="59F5C06D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6477000</wp:posOffset>
                  </wp:positionV>
                  <wp:extent cx="114300" cy="121920"/>
                  <wp:effectExtent l="0" t="0" r="0" b="0"/>
                  <wp:wrapNone/>
                  <wp:docPr id="200197" name="Obrázok 200197" descr="Expand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197" name="BExB6AG6M3BELH263XX3IQCGPGNE" descr="Expand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54656" behindDoc="0" locked="0" layoutInCell="1" allowOverlap="1" wp14:anchorId="43E3F4AF" wp14:editId="1B2EA44F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7254240</wp:posOffset>
                  </wp:positionV>
                  <wp:extent cx="114300" cy="121920"/>
                  <wp:effectExtent l="0" t="0" r="0" b="0"/>
                  <wp:wrapNone/>
                  <wp:docPr id="200198" name="Obrázok 200198" descr="Expand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198" name="BEx1XYBCW495WGCZ2GNK1D5EXM5R" descr="Expand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55680" behindDoc="0" locked="0" layoutInCell="1" allowOverlap="1" wp14:anchorId="67623028" wp14:editId="3CDE56FB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8161020</wp:posOffset>
                  </wp:positionV>
                  <wp:extent cx="114300" cy="121920"/>
                  <wp:effectExtent l="0" t="0" r="0" b="0"/>
                  <wp:wrapNone/>
                  <wp:docPr id="200199" name="Obrázok 200199" descr="Expand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199" name="BExDAIKY8L0MYJ0NN2LI8CH0LKVF" descr="Expand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56704" behindDoc="0" locked="0" layoutInCell="1" allowOverlap="1" wp14:anchorId="38BBBCF7" wp14:editId="154D2B25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8808720</wp:posOffset>
                  </wp:positionV>
                  <wp:extent cx="114300" cy="121920"/>
                  <wp:effectExtent l="0" t="0" r="0" b="0"/>
                  <wp:wrapNone/>
                  <wp:docPr id="200200" name="Obrázok 200200" descr="Expand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00" name="BExODH5DV99DHQ8JG7JE1YXH6QDL" descr="Expand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57728" behindDoc="0" locked="0" layoutInCell="1" allowOverlap="1" wp14:anchorId="4C7CF4FF" wp14:editId="70CFAA35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11010900</wp:posOffset>
                  </wp:positionV>
                  <wp:extent cx="114300" cy="121920"/>
                  <wp:effectExtent l="0" t="0" r="0" b="0"/>
                  <wp:wrapNone/>
                  <wp:docPr id="200201" name="Obrázok 200201" descr="Expand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01" name="BEx3LTE63A2JZ7FY76NUV9EK074X" descr="Expand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58752" behindDoc="0" locked="0" layoutInCell="1" allowOverlap="1" wp14:anchorId="69C1AFB5" wp14:editId="467EA7B8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11140440</wp:posOffset>
                  </wp:positionV>
                  <wp:extent cx="114300" cy="121920"/>
                  <wp:effectExtent l="0" t="0" r="0" b="0"/>
                  <wp:wrapNone/>
                  <wp:docPr id="200202" name="Obrázok 200202" descr="Expand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02" name="BEx5PDUIKSWBZWPLT7E42OF24EGH" descr="Expand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59776" behindDoc="0" locked="0" layoutInCell="1" allowOverlap="1" wp14:anchorId="03F50614" wp14:editId="69F6E4A3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11399520</wp:posOffset>
                  </wp:positionV>
                  <wp:extent cx="114300" cy="121920"/>
                  <wp:effectExtent l="0" t="0" r="0" b="0"/>
                  <wp:wrapNone/>
                  <wp:docPr id="200203" name="Obrázok 200203" descr="Expand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03" name="BExKDVB3QFSH0I7NNROV6FXLWLXU" descr="Expand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0800" behindDoc="0" locked="0" layoutInCell="1" allowOverlap="1" wp14:anchorId="3FAE23F8" wp14:editId="16A6CA5F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11529060</wp:posOffset>
                  </wp:positionV>
                  <wp:extent cx="114300" cy="121920"/>
                  <wp:effectExtent l="0" t="0" r="0" b="0"/>
                  <wp:wrapNone/>
                  <wp:docPr id="200204" name="Obrázok 200204" descr="Expand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04" name="BEx5CJV0W33RB109FPIS8CROQHPP" descr="Expand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1824" behindDoc="0" locked="0" layoutInCell="1" allowOverlap="1" wp14:anchorId="17AE59DC" wp14:editId="16B9FB0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11658600</wp:posOffset>
                  </wp:positionV>
                  <wp:extent cx="114300" cy="121920"/>
                  <wp:effectExtent l="0" t="0" r="0" b="0"/>
                  <wp:wrapNone/>
                  <wp:docPr id="200205" name="Obrázok 200205" descr="Expand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05" name="BExW5URRY00WPW4LG0UMWBLTKJDO" descr="Expand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2848" behindDoc="0" locked="0" layoutInCell="1" allowOverlap="1" wp14:anchorId="77DF2409" wp14:editId="467662D5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11917680</wp:posOffset>
                  </wp:positionV>
                  <wp:extent cx="114300" cy="121920"/>
                  <wp:effectExtent l="0" t="0" r="0" b="0"/>
                  <wp:wrapNone/>
                  <wp:docPr id="200206" name="Obrázok 200206" descr="Expand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06" name="BExSCDICVSMOP3M2PNZ1VCYQU0I7" descr="Expand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3872" behindDoc="0" locked="0" layoutInCell="1" allowOverlap="1" wp14:anchorId="46BA5F11" wp14:editId="76DDF945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12047220</wp:posOffset>
                  </wp:positionV>
                  <wp:extent cx="114300" cy="121920"/>
                  <wp:effectExtent l="0" t="0" r="0" b="0"/>
                  <wp:wrapNone/>
                  <wp:docPr id="200207" name="Obrázok 200207" descr="Expand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07" name="BEx3FEMF6JY01TZ6NH8CC4C4RGHZ" descr="Expand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4896" behindDoc="0" locked="0" layoutInCell="1" allowOverlap="1" wp14:anchorId="3CB0D410" wp14:editId="66C4375C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12176760</wp:posOffset>
                  </wp:positionV>
                  <wp:extent cx="114300" cy="121920"/>
                  <wp:effectExtent l="0" t="0" r="0" b="0"/>
                  <wp:wrapNone/>
                  <wp:docPr id="200208" name="Obrázok 200208" descr="Expand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08" name="BExY01BF030E6HWXT7RLYHI0URWA" descr="Expand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40"/>
            </w:tblGrid>
            <w:tr w:rsidR="001505A9" w:rsidTr="001505A9">
              <w:trPr>
                <w:trHeight w:val="204"/>
                <w:tblCellSpacing w:w="0" w:type="dxa"/>
              </w:trPr>
              <w:tc>
                <w:tcPr>
                  <w:tcW w:w="5440" w:type="dxa"/>
                  <w:tcBorders>
                    <w:top w:val="single" w:sz="4" w:space="0" w:color="848484"/>
                    <w:left w:val="single" w:sz="4" w:space="0" w:color="848484"/>
                    <w:bottom w:val="single" w:sz="4" w:space="0" w:color="848484"/>
                    <w:right w:val="single" w:sz="4" w:space="0" w:color="848484"/>
                  </w:tcBorders>
                  <w:shd w:val="clear" w:color="8DB0DB" w:fill="D5E3F2"/>
                  <w:noWrap/>
                  <w:tcMar>
                    <w:top w:w="0" w:type="dxa"/>
                    <w:left w:w="18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05A9" w:rsidRDefault="001505A9">
                  <w:pPr>
                    <w:ind w:firstLineChars="100" w:firstLine="141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Hl.kateg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</w:t>
                  </w:r>
                </w:p>
              </w:tc>
            </w:tr>
          </w:tbl>
          <w:p w:rsidR="001505A9" w:rsidRDefault="001505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EFF6FB"/>
            <w:noWrap/>
            <w:vAlign w:val="center"/>
            <w:hideMark/>
          </w:tcPr>
          <w:p w:rsidR="001505A9" w:rsidRDefault="001505A9">
            <w:pPr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Schválený rozpočet</w:t>
            </w:r>
          </w:p>
        </w:tc>
        <w:tc>
          <w:tcPr>
            <w:tcW w:w="702" w:type="pct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EFF6FB"/>
            <w:noWrap/>
            <w:vAlign w:val="center"/>
            <w:hideMark/>
          </w:tcPr>
          <w:p w:rsidR="001505A9" w:rsidRDefault="001505A9">
            <w:pPr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Rozpočet po zmenách</w:t>
            </w:r>
          </w:p>
        </w:tc>
        <w:tc>
          <w:tcPr>
            <w:tcW w:w="718" w:type="pct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EFF6FB"/>
            <w:noWrap/>
            <w:vAlign w:val="center"/>
            <w:hideMark/>
          </w:tcPr>
          <w:p w:rsidR="001505A9" w:rsidRDefault="001505A9">
            <w:pPr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Očakávaná skutočnosť</w:t>
            </w:r>
          </w:p>
        </w:tc>
        <w:tc>
          <w:tcPr>
            <w:tcW w:w="747" w:type="pct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EFF6FB"/>
            <w:noWrap/>
            <w:vAlign w:val="center"/>
            <w:hideMark/>
          </w:tcPr>
          <w:p w:rsidR="001505A9" w:rsidRDefault="001505A9">
            <w:pPr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Skutočnosť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FFFFCC"/>
            <w:noWrap/>
            <w:vAlign w:val="center"/>
            <w:hideMark/>
          </w:tcPr>
          <w:p w:rsidR="001505A9" w:rsidRDefault="001505A9">
            <w:pPr>
              <w:ind w:firstLineChars="100" w:firstLine="141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Celkový výsledok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12 322 385,00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12 612 938,00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12 612 938,00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6 486 736,51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B7CFE8"/>
            <w:noWrap/>
            <w:vAlign w:val="center"/>
            <w:hideMark/>
          </w:tcPr>
          <w:p w:rsidR="001505A9" w:rsidRDefault="001505A9">
            <w:pPr>
              <w:ind w:firstLineChars="200" w:firstLine="2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600 Bežné výdavky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11 799 500,00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12 026 500,00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12 026 500,00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6 191 760,69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C3D6EB"/>
            <w:noWrap/>
            <w:vAlign w:val="center"/>
            <w:hideMark/>
          </w:tcPr>
          <w:p w:rsidR="001505A9" w:rsidRDefault="001505A9">
            <w:pPr>
              <w:ind w:firstLineChars="300" w:firstLine="4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610 Mzdy, platy, služobné príjmy a ostatné osobné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vyrovnan</w:t>
            </w:r>
            <w:proofErr w:type="spellEnd"/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5 556 000,00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5 671 000,00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5 671 000,00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3 236 956,42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611 Tarifný plat, osobný plat, základný plat, funkčný plat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3 652 000,00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3 767 000,00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3 767 000,00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2 153 045,34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611    Tarifný plat, osobný plat, základný plat, funkčný p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3 652 000,00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3 767 000,00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3 767 000,00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2 153 045,34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612 Príplatky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900 900,00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900 900,00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900 900,00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532 591,31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612    Príplatky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900 900,00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900 900,00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900 900,00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532 591,31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613 Náhrada za pracovnú pohotovosť, služobnú pohotovosť a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616 200,00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616 200,00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616 200,00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412 948,46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613    Náhrada za pracovnú pohotovosť, služobnú pohotovosť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616 200,00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616 200,00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616 200,00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412 948,46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 w:rsidP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614 Odmeny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359 000,00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359 000,00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359 000,00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119 231,65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614    Odmeny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359 000,00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359 000,00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359 000,00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119 231,65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615 Ostatné osobné vyrovnania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27 900,00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27 900,00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27 900,00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19 139,66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615    Ostatné osobné vyrovnania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27 900,00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27 900,00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19 139,66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C3D6EB"/>
            <w:noWrap/>
            <w:vAlign w:val="center"/>
            <w:hideMark/>
          </w:tcPr>
          <w:p w:rsidR="001505A9" w:rsidRDefault="001505A9">
            <w:pPr>
              <w:ind w:firstLineChars="300" w:firstLine="4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620 Poistné a príspevok do poisťovní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2 983 800,00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3 063 800,00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3 063 800,00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1 121 191,81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621 Poistné do Všeobecnej zdravotnej poisťovne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735 900,00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775 900,00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775 900,00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281 864,21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621    Poistné do Všeobecnej zdravotnej poisťovne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735 900,00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775 900,00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775 900,00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281 864,21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623 Poistné do ostatných zdravotných poisťovní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70 100,00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70 100,00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70 100,00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26 088,78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623    Poistné do ostatných zdravotných poisťovní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70 100,00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70 100,00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70 100,00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26 088,78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625 Poistné do Sociálnej poisťovne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2 168 200,00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2 208 200,00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2 208 200,00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808 900,35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625001 Na nemocenské poistenie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181 600,00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181 600,00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181 600,00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44 842,23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625002 Na starobné poistenie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1 146 400,00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1 186 400,00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1 186 400,00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453 611,55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625003 Na úrazové poistenie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50 400,00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50 400,00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25 730,15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625004 Na invalidné poistenie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354 000,00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354 000,00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354 000,00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93 717,51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625005 Na poistenie v nezamestnanosti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121 400,00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121 400,00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121 400,00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30 822,53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625006 Na garančné poistenie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15 700,00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15 700,00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7 997,17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625007 Na poistenie do rezervného fondu solidarity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298 700,00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298 700,00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298 700,00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152 179,21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627 Príspevok do doplnkových dôchodkových poisťovní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9 600,00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9 600,00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4 338,47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627    Príspevok do doplnkových dôchodkových poisťovní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9 600,00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9 600,00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4 338,47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C3D6EB"/>
            <w:noWrap/>
            <w:vAlign w:val="center"/>
            <w:hideMark/>
          </w:tcPr>
          <w:p w:rsidR="001505A9" w:rsidRDefault="001505A9">
            <w:pPr>
              <w:ind w:firstLineChars="300" w:firstLine="4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630 Tovary a služby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3 254 700,00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3 286 700,00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3 286 700,00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1 831 324,59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631 Cestovné náhrady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1 900,00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1 900,00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6 187,23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631001 Tuzemské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1 900,00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1 900,00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6 187,23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632 Energie, voda a komunikácie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334 500,00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334 500,00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334 500,00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171 609,76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632001 Energie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241 000,00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241 000,00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241 000,00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133 011,18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632002 Vodné, stočné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29 988,70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632003 Poštové služby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17 500,00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17 500,00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17 500,00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8 609,88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633 Materiál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2 148 100,00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2 148 100,00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2 148 100,00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1 267 412,98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633001 Interiérové vybavenie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10 156,65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633002 Výpočtová technika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4 999,90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633003 Telekomunikačná technika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769,00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633004 Prevádzkové stroje, prístroje, zariadenie, technika a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56 800,00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56 800,00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56 800,00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22 199,44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633006 Všeobecný materiál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1 700 000,00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1 700 000,00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1 700 000,00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1 088 073,54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633008 Krv a krvné výrobky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6 657,75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633009 Knihy, časopisy, noviny, učebnice, učebné pomôcky a k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1 258,91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633010 Pracovné odevy, obuv a pracovné pomôcky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20 750,65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633011 Potraviny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161 200,00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161 200,00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161 200,00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86 578,31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633013 Softvér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20 512,52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633015 Palivá ako zdroj energie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26,60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633016 Reprezentačné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119,55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633019 Komunikačná infraštruktúra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5 310,16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634 Dopravné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60 300,00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60 300,00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60 300,00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33 859,67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634001 Palivo, mazivá, oleje, špeciálne kvapaliny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19 741,90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634002 Servis, údržba, opravy a výdavky s tým spojené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12 501,29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634003 Poistenie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824,64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634004 Prepravné a nájom dopravných prostriedkov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241,84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634005 Karty, známky, poplatky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550,00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635 Rutinná a štandardná údržba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205 000,00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237 000,00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237 000,00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136 308,53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635001 Interiérového vybavenia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635003 Telekomunikačnej techniky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635004 Prevádzkových strojov, prístrojov, zariadení, technik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168 000,00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200 000,00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113 736,43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635006 Budov, objektov alebo ich častí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22 400,00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22 400,00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14 101,94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635010 Komunikačnej infraštruktúry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378,00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635200 Ostatného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12 500,00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12 500,00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12 500,00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8 092,16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636 Nájomné za nájom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94 600,00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94 600,00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94 600,00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38 273,61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636001 Budov, objektov alebo ich častí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1 600,00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1 600,00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1 047,46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636002 Prevádzkových strojov, prístrojov, zariadení, technik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636004 Dopravných prostriedkov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28 950,06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636005 Zo zmluvy o nájme veci s právom kúpy prenajatej veci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8 276,09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637 Služby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410 300,00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410 300,00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410 300,00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177 672,81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637001 Školenia, kurzy, semináre, porady, konferencie,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sympó</w:t>
            </w:r>
            <w:proofErr w:type="spellEnd"/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802,00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637003 Propagácia, reklama a inzercia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1 700,00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1 700,00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329,09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637004 Všeobecné služby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67 000,00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67 000,00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67 000,00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55 312,56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637005 Špeciálne služby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4 082,42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637006 Náhrady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637007 Cestovné náhrady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7 300,00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7 300,00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7 300,00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3 955,62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637011 Štúdie, expertízy, posudky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100,00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637012 Poplatky a odvody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3 282,34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637014 Stravovanie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2 800,00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2 800,00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2 800,00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19,60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637015 Poistné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6 900,00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6 900,00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4 503,95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637016 Prídel do sociálneho fondu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53 400,00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53 400,00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27 071,53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637031 Pokuty a penále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270,65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637034 Zdravotníckym zariadeniam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3 500,00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3 500,00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3 500,00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535,35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637035 Dane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14 773,64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637036 Reprezentačné výdavky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1 600,00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1 600,00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918,06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637038 Nezrovnalosti a iné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vratky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za prostriedky Európskej ú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123 600,00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123 600,00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123 600,00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61 716,00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C3D6EB"/>
            <w:noWrap/>
            <w:vAlign w:val="center"/>
            <w:hideMark/>
          </w:tcPr>
          <w:p w:rsidR="001505A9" w:rsidRDefault="001505A9">
            <w:pPr>
              <w:ind w:firstLineChars="300" w:firstLine="4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650 Splácanie úrokov a ostatné platby súvisiace s úverom,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2 287,87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651 Splácanie úrokov v tuzemsku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2 287,87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651002 Banke a pobočke zahraničnej banky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2 287,87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B7CFE8"/>
            <w:noWrap/>
            <w:vAlign w:val="center"/>
            <w:hideMark/>
          </w:tcPr>
          <w:p w:rsidR="001505A9" w:rsidRDefault="001505A9">
            <w:pPr>
              <w:ind w:firstLineChars="200" w:firstLine="2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700 Kapitálové výdavky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300 000,00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363 553,00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363 553,00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173 985,82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C3D6EB"/>
            <w:noWrap/>
            <w:vAlign w:val="center"/>
            <w:hideMark/>
          </w:tcPr>
          <w:p w:rsidR="001505A9" w:rsidRDefault="001505A9">
            <w:pPr>
              <w:ind w:firstLineChars="300" w:firstLine="4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710 Obstarávanie kapitálových aktív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300 000,00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363 553,00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363 553,00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173 985,82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713 Nákup strojov, prístrojov, zariadení, techniky a 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nárad</w:t>
            </w:r>
            <w:proofErr w:type="spellEnd"/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300 000,00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363 553,00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363 553,00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173 985,82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713004 Prevádzkových strojov, prístrojov, zariadení, technik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300 000,00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363 553,00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363 553,00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173 985,82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B7CFE8"/>
            <w:noWrap/>
            <w:vAlign w:val="center"/>
            <w:hideMark/>
          </w:tcPr>
          <w:p w:rsidR="001505A9" w:rsidRDefault="001505A9">
            <w:pPr>
              <w:ind w:firstLineChars="200" w:firstLine="2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800 Výdavky z transakcií s finančnými aktívami a finančným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222 885,00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222 885,00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222 885,00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120 990,00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C3D6EB"/>
            <w:noWrap/>
            <w:vAlign w:val="center"/>
            <w:hideMark/>
          </w:tcPr>
          <w:p w:rsidR="001505A9" w:rsidRDefault="001505A9">
            <w:pPr>
              <w:ind w:firstLineChars="300" w:firstLine="4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820 Splácanie istín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222 885,00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222 885,00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222 885,00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120 990,00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821 Splácanie tuzemskej istiny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222 885,00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222 885,00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222 885,00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000000" w:fill="FFFDC1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120 990,00</w:t>
            </w:r>
          </w:p>
        </w:tc>
      </w:tr>
      <w:tr w:rsidR="001505A9" w:rsidTr="001505A9">
        <w:trPr>
          <w:trHeight w:val="204"/>
        </w:trPr>
        <w:tc>
          <w:tcPr>
            <w:tcW w:w="2209" w:type="pct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000000" w:fill="D5E3F2"/>
            <w:noWrap/>
            <w:vAlign w:val="center"/>
            <w:hideMark/>
          </w:tcPr>
          <w:p w:rsidR="001505A9" w:rsidRDefault="001505A9">
            <w:pPr>
              <w:ind w:firstLineChars="500" w:firstLine="7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821005 Z bankových úverov dlhodobých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222 885,00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222 885,00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222 885,00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1505A9" w:rsidRDefault="001505A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120 990,00</w:t>
            </w:r>
          </w:p>
        </w:tc>
      </w:tr>
    </w:tbl>
    <w:p w:rsidR="00602AAE" w:rsidRDefault="00602AAE" w:rsidP="009068E1">
      <w:pPr>
        <w:widowControl w:val="0"/>
        <w:autoSpaceDE w:val="0"/>
        <w:autoSpaceDN w:val="0"/>
        <w:adjustRightInd w:val="0"/>
        <w:jc w:val="both"/>
      </w:pPr>
    </w:p>
    <w:p w:rsidR="00B23CBC" w:rsidRDefault="00B23CBC" w:rsidP="009068E1">
      <w:pPr>
        <w:widowControl w:val="0"/>
        <w:autoSpaceDE w:val="0"/>
        <w:autoSpaceDN w:val="0"/>
        <w:adjustRightInd w:val="0"/>
        <w:jc w:val="both"/>
      </w:pPr>
    </w:p>
    <w:p w:rsidR="00602AAE" w:rsidRPr="00B23CBC" w:rsidRDefault="00B23CBC" w:rsidP="009068E1">
      <w:pPr>
        <w:widowControl w:val="0"/>
        <w:autoSpaceDE w:val="0"/>
        <w:autoSpaceDN w:val="0"/>
        <w:adjustRightInd w:val="0"/>
        <w:jc w:val="both"/>
      </w:pPr>
      <w:r w:rsidRPr="00B23CBC">
        <w:rPr>
          <w:b/>
          <w:bCs/>
        </w:rPr>
        <w:t>FIN  1 - 12  Rozdiel príjmov a</w:t>
      </w:r>
      <w:r>
        <w:rPr>
          <w:b/>
          <w:bCs/>
        </w:rPr>
        <w:t> </w:t>
      </w:r>
      <w:r w:rsidRPr="00B23CBC">
        <w:rPr>
          <w:b/>
          <w:bCs/>
        </w:rPr>
        <w:t>výdavkov</w:t>
      </w:r>
      <w:r>
        <w:rPr>
          <w:b/>
          <w:bCs/>
        </w:rPr>
        <w:t>:</w:t>
      </w:r>
    </w:p>
    <w:p w:rsidR="00253B12" w:rsidRDefault="00253B12" w:rsidP="009068E1">
      <w:pPr>
        <w:widowControl w:val="0"/>
        <w:autoSpaceDE w:val="0"/>
        <w:autoSpaceDN w:val="0"/>
        <w:adjustRightInd w:val="0"/>
        <w:jc w:val="both"/>
      </w:pPr>
    </w:p>
    <w:tbl>
      <w:tblPr>
        <w:tblW w:w="49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1051"/>
        <w:gridCol w:w="1470"/>
        <w:gridCol w:w="1505"/>
        <w:gridCol w:w="995"/>
      </w:tblGrid>
      <w:tr w:rsidR="00717440" w:rsidTr="007664C4">
        <w:trPr>
          <w:trHeight w:val="300"/>
        </w:trPr>
        <w:tc>
          <w:tcPr>
            <w:tcW w:w="22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center"/>
            <w:hideMark/>
          </w:tcPr>
          <w:p w:rsidR="00717440" w:rsidRDefault="00717440">
            <w:pPr>
              <w:ind w:firstLineChars="100" w:firstLine="141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Hl.kateg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CCCC"/>
            <w:noWrap/>
            <w:vAlign w:val="center"/>
            <w:hideMark/>
          </w:tcPr>
          <w:p w:rsidR="00717440" w:rsidRDefault="0071744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Schválený rozpočet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CCCC"/>
            <w:noWrap/>
            <w:vAlign w:val="center"/>
            <w:hideMark/>
          </w:tcPr>
          <w:p w:rsidR="00717440" w:rsidRDefault="0071744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Rozpočet po zmenách</w:t>
            </w:r>
          </w:p>
        </w:tc>
        <w:tc>
          <w:tcPr>
            <w:tcW w:w="8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CCCC"/>
            <w:noWrap/>
            <w:vAlign w:val="center"/>
            <w:hideMark/>
          </w:tcPr>
          <w:p w:rsidR="00717440" w:rsidRDefault="0071744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Očakávaná skutočnosť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CCCC"/>
            <w:noWrap/>
            <w:vAlign w:val="center"/>
            <w:hideMark/>
          </w:tcPr>
          <w:p w:rsidR="00717440" w:rsidRDefault="0071744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Skutočnosť</w:t>
            </w:r>
          </w:p>
        </w:tc>
      </w:tr>
      <w:tr w:rsidR="007664C4" w:rsidTr="007664C4">
        <w:trPr>
          <w:trHeight w:val="300"/>
        </w:trPr>
        <w:tc>
          <w:tcPr>
            <w:tcW w:w="22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:rsidR="007664C4" w:rsidRDefault="007664C4">
            <w:pPr>
              <w:ind w:firstLineChars="100" w:firstLine="141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Celkový výsledok: Príjmy - Výdavky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664C4" w:rsidRDefault="007664C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634 089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664C4" w:rsidRDefault="007664C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950 526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664C4" w:rsidRDefault="007664C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781 326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664C4" w:rsidRDefault="007664C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997 476</w:t>
            </w:r>
          </w:p>
        </w:tc>
      </w:tr>
      <w:tr w:rsidR="007664C4" w:rsidTr="007664C4">
        <w:trPr>
          <w:trHeight w:val="300"/>
        </w:trPr>
        <w:tc>
          <w:tcPr>
            <w:tcW w:w="22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7664C4" w:rsidRDefault="007664C4">
            <w:pPr>
              <w:ind w:firstLineChars="200" w:firstLine="28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600 Príjmy - Bežné výdavky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664C4" w:rsidRDefault="007664C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1 156 974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664C4" w:rsidRDefault="007664C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1 536 964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664C4" w:rsidRDefault="007664C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1 367 764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664C4" w:rsidRDefault="007664C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1 292 452</w:t>
            </w:r>
          </w:p>
        </w:tc>
      </w:tr>
      <w:tr w:rsidR="007664C4" w:rsidTr="007664C4">
        <w:trPr>
          <w:trHeight w:val="300"/>
        </w:trPr>
        <w:tc>
          <w:tcPr>
            <w:tcW w:w="22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7664C4" w:rsidRDefault="007664C4">
            <w:pPr>
              <w:ind w:firstLineChars="200" w:firstLine="28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700 Príjmy - Bežné výdavky - Kapitálové výdavky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664C4" w:rsidRDefault="007664C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856 974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664C4" w:rsidRDefault="007664C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1 173 411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664C4" w:rsidRDefault="007664C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1 004 211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664C4" w:rsidRDefault="007664C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1 118 466</w:t>
            </w:r>
          </w:p>
        </w:tc>
      </w:tr>
      <w:tr w:rsidR="007664C4" w:rsidTr="007664C4">
        <w:trPr>
          <w:trHeight w:val="300"/>
        </w:trPr>
        <w:tc>
          <w:tcPr>
            <w:tcW w:w="22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7664C4" w:rsidRDefault="007664C4">
            <w:pPr>
              <w:ind w:firstLineChars="200" w:firstLine="28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800 Príjmy - Bežné výdavky - Kapitálové výdavky - Splácanie istín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664C4" w:rsidRDefault="007664C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634 089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664C4" w:rsidRDefault="007664C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950 526</w:t>
            </w:r>
          </w:p>
        </w:tc>
        <w:tc>
          <w:tcPr>
            <w:tcW w:w="8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664C4" w:rsidRDefault="007664C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781 326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664C4" w:rsidRDefault="007664C4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997 476</w:t>
            </w:r>
          </w:p>
        </w:tc>
      </w:tr>
    </w:tbl>
    <w:p w:rsidR="007578F8" w:rsidRDefault="007578F8" w:rsidP="009068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E4719" w:rsidRDefault="00DE471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068E1" w:rsidRPr="00AE707D" w:rsidRDefault="009068E1" w:rsidP="009068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45BF3">
        <w:rPr>
          <w:b/>
          <w:sz w:val="28"/>
          <w:szCs w:val="28"/>
        </w:rPr>
        <w:lastRenderedPageBreak/>
        <w:t>Záväzky, pohľadávky</w:t>
      </w:r>
    </w:p>
    <w:p w:rsidR="00E6551F" w:rsidRPr="009E6CB5" w:rsidRDefault="009354DC" w:rsidP="00735B3B">
      <w:pPr>
        <w:widowControl w:val="0"/>
        <w:autoSpaceDE w:val="0"/>
        <w:autoSpaceDN w:val="0"/>
        <w:adjustRightInd w:val="0"/>
        <w:jc w:val="both"/>
      </w:pPr>
      <w:r w:rsidRPr="00AE707D">
        <w:tab/>
      </w:r>
      <w:r w:rsidR="00E6551F" w:rsidRPr="00AE707D">
        <w:t xml:space="preserve">Krátkodobé záväzky ĽN, n.o. </w:t>
      </w:r>
      <w:r w:rsidR="00F14EBF">
        <w:t>boli</w:t>
      </w:r>
      <w:r w:rsidR="00E6551F" w:rsidRPr="00AE707D">
        <w:t xml:space="preserve"> na úrovni 1.</w:t>
      </w:r>
      <w:r w:rsidR="00245BF3">
        <w:t>289</w:t>
      </w:r>
      <w:r w:rsidR="00E6551F" w:rsidRPr="00AE707D">
        <w:t xml:space="preserve"> tis. €. Čo zodpovedá dobe </w:t>
      </w:r>
      <w:r w:rsidR="000B4D9E" w:rsidRPr="00AE707D">
        <w:t>splatnosti záväzkov</w:t>
      </w:r>
      <w:r w:rsidR="000B4D9E">
        <w:t xml:space="preserve"> </w:t>
      </w:r>
      <w:r w:rsidR="00AE707D">
        <w:t>do</w:t>
      </w:r>
      <w:r w:rsidR="000B4D9E">
        <w:t xml:space="preserve"> 6</w:t>
      </w:r>
      <w:r w:rsidR="00E6551F" w:rsidRPr="009E6CB5">
        <w:t xml:space="preserve">0 dní. </w:t>
      </w:r>
      <w:r w:rsidR="003277C3">
        <w:t>Pokles</w:t>
      </w:r>
      <w:r w:rsidR="00220958">
        <w:t xml:space="preserve"> krátkodobých záväzkov oproti roku 201</w:t>
      </w:r>
      <w:r w:rsidR="003277C3">
        <w:t>7</w:t>
      </w:r>
      <w:r w:rsidR="00220958">
        <w:t xml:space="preserve"> súvisí </w:t>
      </w:r>
      <w:r w:rsidR="003277C3">
        <w:t>s úhradou</w:t>
      </w:r>
      <w:r w:rsidR="00220958">
        <w:t xml:space="preserve"> zrealizovaný</w:t>
      </w:r>
      <w:r w:rsidR="003277C3">
        <w:t>ch</w:t>
      </w:r>
      <w:r w:rsidR="00220958">
        <w:t xml:space="preserve"> investíci</w:t>
      </w:r>
      <w:r w:rsidR="003277C3">
        <w:t>í</w:t>
      </w:r>
      <w:r w:rsidR="00FF0C84">
        <w:t>.</w:t>
      </w:r>
      <w:r w:rsidR="002555A9">
        <w:t xml:space="preserve"> </w:t>
      </w:r>
      <w:r w:rsidR="00E6551F">
        <w:t xml:space="preserve">Z pohľadu finančných ukazovateľov ako sú likvidita, </w:t>
      </w:r>
      <w:proofErr w:type="spellStart"/>
      <w:r w:rsidR="00E6551F">
        <w:t>zadĺženosť</w:t>
      </w:r>
      <w:proofErr w:type="spellEnd"/>
      <w:r w:rsidR="00E6551F">
        <w:t xml:space="preserve"> a dynamika rastu dlh</w:t>
      </w:r>
      <w:r w:rsidR="000B4D9E">
        <w:t>u je úroveň záväzkov prijateľná</w:t>
      </w:r>
      <w:r w:rsidR="00E6551F" w:rsidRPr="009E6CB5">
        <w:t xml:space="preserve">. </w:t>
      </w:r>
      <w:r w:rsidR="00AE707D">
        <w:t>V </w:t>
      </w:r>
      <w:r w:rsidR="00245BF3">
        <w:t>2</w:t>
      </w:r>
      <w:r w:rsidR="00AE707D">
        <w:t>.štvrťroku 2</w:t>
      </w:r>
      <w:r w:rsidR="00E6551F">
        <w:t>01</w:t>
      </w:r>
      <w:r w:rsidR="003277C3">
        <w:t>8</w:t>
      </w:r>
      <w:r w:rsidR="00E6551F">
        <w:t xml:space="preserve"> si ĽN, n.o. plnila zá</w:t>
      </w:r>
      <w:r w:rsidR="007101F4">
        <w:t>väzky plynúce zo splácania úverov</w:t>
      </w:r>
      <w:r w:rsidR="00610FD2">
        <w:t xml:space="preserve"> (</w:t>
      </w:r>
      <w:r w:rsidR="00610FD2">
        <w:rPr>
          <w:sz w:val="20"/>
          <w:szCs w:val="20"/>
        </w:rPr>
        <w:t>5% spolufinancovanie projektu</w:t>
      </w:r>
      <w:r w:rsidR="00975198">
        <w:rPr>
          <w:sz w:val="20"/>
          <w:szCs w:val="20"/>
        </w:rPr>
        <w:t xml:space="preserve"> a úveru pre </w:t>
      </w:r>
      <w:r w:rsidR="007101F4">
        <w:rPr>
          <w:sz w:val="20"/>
          <w:szCs w:val="20"/>
        </w:rPr>
        <w:t>RDG prístroje</w:t>
      </w:r>
      <w:r w:rsidR="00610FD2">
        <w:t>)</w:t>
      </w:r>
      <w:r w:rsidR="00E6551F">
        <w:t xml:space="preserve"> a</w:t>
      </w:r>
      <w:r w:rsidR="00AE707D">
        <w:t> MZ SR (</w:t>
      </w:r>
      <w:r w:rsidR="00AE707D" w:rsidRPr="00AE707D">
        <w:rPr>
          <w:sz w:val="20"/>
          <w:szCs w:val="20"/>
        </w:rPr>
        <w:t>vrátka NFP</w:t>
      </w:r>
      <w:r w:rsidR="00AE707D">
        <w:t>)</w:t>
      </w:r>
      <w:r w:rsidR="00E6551F">
        <w:t>.</w:t>
      </w:r>
    </w:p>
    <w:p w:rsidR="00E6551F" w:rsidRPr="009E6CB5" w:rsidRDefault="00E6551F" w:rsidP="00E6551F">
      <w:pPr>
        <w:widowControl w:val="0"/>
        <w:autoSpaceDE w:val="0"/>
        <w:autoSpaceDN w:val="0"/>
        <w:adjustRightInd w:val="0"/>
        <w:jc w:val="both"/>
      </w:pPr>
      <w:r w:rsidRPr="009E6CB5">
        <w:tab/>
        <w:t xml:space="preserve"> </w:t>
      </w:r>
    </w:p>
    <w:p w:rsidR="00EC0FE0" w:rsidRPr="002E0380" w:rsidRDefault="00E6551F" w:rsidP="00735B3B">
      <w:pPr>
        <w:widowControl w:val="0"/>
        <w:autoSpaceDE w:val="0"/>
        <w:autoSpaceDN w:val="0"/>
        <w:adjustRightInd w:val="0"/>
        <w:ind w:firstLine="720"/>
        <w:jc w:val="both"/>
      </w:pPr>
      <w:r w:rsidRPr="002E0380">
        <w:t>V oblasti pohľadávok je vývoj priaznivý a pohľadávky dosahujú úroveň dojednaných</w:t>
      </w:r>
      <w:r w:rsidR="00245BF3">
        <w:t xml:space="preserve"> mesačných</w:t>
      </w:r>
      <w:r w:rsidRPr="002E0380">
        <w:t xml:space="preserve"> zmluvných objemov</w:t>
      </w:r>
      <w:r w:rsidR="00245BF3">
        <w:t xml:space="preserve"> u zdravotných poisťovní </w:t>
      </w:r>
      <w:proofErr w:type="spellStart"/>
      <w:r w:rsidR="00245BF3">
        <w:t>VšZP</w:t>
      </w:r>
      <w:proofErr w:type="spellEnd"/>
      <w:r w:rsidR="00245BF3">
        <w:t xml:space="preserve">, </w:t>
      </w:r>
      <w:proofErr w:type="spellStart"/>
      <w:r w:rsidR="00245BF3">
        <w:t>a.s</w:t>
      </w:r>
      <w:proofErr w:type="spellEnd"/>
      <w:r w:rsidR="00245BF3">
        <w:t xml:space="preserve">., Dôvera ZP, a.s. a </w:t>
      </w:r>
      <w:r w:rsidR="00245BF3" w:rsidRPr="002E0380">
        <w:t>dojednaných</w:t>
      </w:r>
      <w:r w:rsidR="00245BF3">
        <w:t xml:space="preserve"> dvojmesačných</w:t>
      </w:r>
      <w:r w:rsidR="00245BF3" w:rsidRPr="002E0380">
        <w:t xml:space="preserve"> zmluvných objemov</w:t>
      </w:r>
      <w:r w:rsidR="00245BF3">
        <w:t xml:space="preserve"> – UNION ZP, a.s.</w:t>
      </w:r>
      <w:r>
        <w:t xml:space="preserve"> a k 3</w:t>
      </w:r>
      <w:r w:rsidR="00245BF3">
        <w:t>0</w:t>
      </w:r>
      <w:r>
        <w:t>.</w:t>
      </w:r>
      <w:r w:rsidR="003277C3">
        <w:t>0</w:t>
      </w:r>
      <w:r w:rsidR="00245BF3">
        <w:t>6</w:t>
      </w:r>
      <w:r>
        <w:t>.201</w:t>
      </w:r>
      <w:r w:rsidR="003277C3">
        <w:t>8</w:t>
      </w:r>
      <w:r w:rsidR="00AE707D">
        <w:t xml:space="preserve"> predstavujú sumu </w:t>
      </w:r>
      <w:r w:rsidR="00A92B20">
        <w:t>1</w:t>
      </w:r>
      <w:r>
        <w:t>.</w:t>
      </w:r>
      <w:r w:rsidR="00245BF3">
        <w:t>219</w:t>
      </w:r>
      <w:r>
        <w:t xml:space="preserve"> tis. €,</w:t>
      </w:r>
      <w:r w:rsidRPr="002E0380">
        <w:t xml:space="preserve"> čo zodpovedá doh</w:t>
      </w:r>
      <w:r w:rsidR="00245BF3">
        <w:t>odnutej  splatnosti v priemere 30</w:t>
      </w:r>
      <w:r w:rsidRPr="002E0380">
        <w:t xml:space="preserve"> dní.</w:t>
      </w:r>
      <w:r>
        <w:t xml:space="preserve"> </w:t>
      </w:r>
      <w:r w:rsidR="00610FD2">
        <w:t>V</w:t>
      </w:r>
      <w:r>
        <w:t>ýkyvy vo výške pohľadávok</w:t>
      </w:r>
      <w:r w:rsidR="00DD702F">
        <w:t xml:space="preserve"> </w:t>
      </w:r>
      <w:r>
        <w:t>súvisia</w:t>
      </w:r>
      <w:r w:rsidR="00917A43">
        <w:t xml:space="preserve"> s výškou</w:t>
      </w:r>
      <w:r>
        <w:t xml:space="preserve"> </w:t>
      </w:r>
      <w:r w:rsidR="00917A43">
        <w:t>výkonov</w:t>
      </w:r>
      <w:r>
        <w:t xml:space="preserve"> </w:t>
      </w:r>
      <w:r w:rsidR="00917A43">
        <w:t>pre</w:t>
      </w:r>
      <w:r>
        <w:t xml:space="preserve"> zdravotn</w:t>
      </w:r>
      <w:r w:rsidR="00917A43">
        <w:t>é</w:t>
      </w:r>
      <w:r>
        <w:t xml:space="preserve"> poisťovn</w:t>
      </w:r>
      <w:r w:rsidR="002267E5">
        <w:t>e.</w:t>
      </w:r>
    </w:p>
    <w:p w:rsidR="008D0F5F" w:rsidRPr="002E0380" w:rsidRDefault="008D0F5F" w:rsidP="00EC0FE0">
      <w:pPr>
        <w:widowControl w:val="0"/>
        <w:autoSpaceDE w:val="0"/>
        <w:autoSpaceDN w:val="0"/>
        <w:adjustRightInd w:val="0"/>
        <w:jc w:val="center"/>
      </w:pPr>
    </w:p>
    <w:p w:rsidR="008D0F5F" w:rsidRDefault="002635E9" w:rsidP="008D0F5F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6BB68336" wp14:editId="6ECF5E2A">
            <wp:extent cx="5762625" cy="1896165"/>
            <wp:effectExtent l="0" t="0" r="9525" b="27940"/>
            <wp:docPr id="15" name="Graf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8D0F5F" w:rsidRDefault="008D0F5F" w:rsidP="004B73C2">
      <w:pPr>
        <w:widowControl w:val="0"/>
        <w:autoSpaceDE w:val="0"/>
        <w:autoSpaceDN w:val="0"/>
        <w:adjustRightInd w:val="0"/>
        <w:jc w:val="center"/>
      </w:pPr>
    </w:p>
    <w:p w:rsidR="006F7C55" w:rsidRDefault="002635E9" w:rsidP="004B73C2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17F7D58A" wp14:editId="565F16C9">
            <wp:extent cx="5762625" cy="1676834"/>
            <wp:effectExtent l="0" t="0" r="9525" b="19050"/>
            <wp:docPr id="16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D0F5F" w:rsidRDefault="008D0F5F" w:rsidP="004B73C2">
      <w:pPr>
        <w:widowControl w:val="0"/>
        <w:autoSpaceDE w:val="0"/>
        <w:autoSpaceDN w:val="0"/>
        <w:adjustRightInd w:val="0"/>
        <w:jc w:val="center"/>
      </w:pPr>
    </w:p>
    <w:p w:rsidR="006F7C55" w:rsidRDefault="006F7C55" w:rsidP="004B73C2">
      <w:pPr>
        <w:widowControl w:val="0"/>
        <w:autoSpaceDE w:val="0"/>
        <w:autoSpaceDN w:val="0"/>
        <w:adjustRightInd w:val="0"/>
        <w:jc w:val="center"/>
      </w:pPr>
    </w:p>
    <w:tbl>
      <w:tblPr>
        <w:tblW w:w="885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7"/>
        <w:gridCol w:w="1141"/>
        <w:gridCol w:w="1242"/>
        <w:gridCol w:w="1196"/>
        <w:gridCol w:w="1276"/>
      </w:tblGrid>
      <w:tr w:rsidR="00D67BE5" w:rsidRPr="006F6C7C">
        <w:trPr>
          <w:trHeight w:val="300"/>
        </w:trPr>
        <w:tc>
          <w:tcPr>
            <w:tcW w:w="5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F84" w:rsidRDefault="00AD6F84" w:rsidP="006F6C7C">
            <w:pPr>
              <w:rPr>
                <w:rFonts w:ascii="Arial" w:hAnsi="Arial"/>
                <w:lang w:eastAsia="zh-CN"/>
              </w:rPr>
            </w:pPr>
          </w:p>
          <w:p w:rsidR="00D67BE5" w:rsidRPr="006F6C7C" w:rsidRDefault="00D67BE5" w:rsidP="006F6C7C">
            <w:pPr>
              <w:rPr>
                <w:rFonts w:ascii="Arial" w:hAnsi="Arial"/>
                <w:lang w:eastAsia="zh-CN"/>
              </w:rPr>
            </w:pPr>
            <w:r w:rsidRPr="006F6C7C">
              <w:rPr>
                <w:rFonts w:ascii="Arial" w:hAnsi="Arial"/>
                <w:lang w:eastAsia="zh-CN"/>
              </w:rPr>
              <w:t xml:space="preserve">Tabuľka č. </w:t>
            </w:r>
            <w:r w:rsidR="003321FB">
              <w:rPr>
                <w:rFonts w:ascii="Arial" w:hAnsi="Arial"/>
                <w:lang w:eastAsia="zh-CN"/>
              </w:rPr>
              <w:t>5</w:t>
            </w:r>
            <w:r w:rsidRPr="006F6C7C">
              <w:rPr>
                <w:rFonts w:ascii="Arial" w:hAnsi="Arial"/>
                <w:lang w:eastAsia="zh-CN"/>
              </w:rPr>
              <w:t xml:space="preserve">  Záväzky a pohľadávky k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BE5" w:rsidRPr="006F6C7C" w:rsidRDefault="00D67BE5" w:rsidP="006F6C7C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BE5" w:rsidRPr="006F6C7C" w:rsidRDefault="00D67BE5" w:rsidP="006F6C7C">
            <w:pPr>
              <w:rPr>
                <w:rFonts w:ascii="Arial" w:hAnsi="Arial"/>
                <w:sz w:val="20"/>
                <w:szCs w:val="20"/>
                <w:lang w:eastAsia="zh-CN"/>
              </w:rPr>
            </w:pPr>
            <w:r w:rsidRPr="006F6C7C">
              <w:rPr>
                <w:rFonts w:ascii="Arial" w:hAnsi="Arial"/>
                <w:sz w:val="20"/>
                <w:szCs w:val="20"/>
                <w:lang w:eastAsia="zh-CN"/>
              </w:rPr>
              <w:t>v EUR</w:t>
            </w:r>
          </w:p>
        </w:tc>
      </w:tr>
      <w:tr w:rsidR="006F6C7C" w:rsidRPr="006F6C7C">
        <w:trPr>
          <w:trHeight w:val="270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6C7C" w:rsidRPr="006F6C7C" w:rsidRDefault="006F6C7C" w:rsidP="006F6C7C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6C7C" w:rsidRPr="006F6C7C" w:rsidRDefault="006F6C7C" w:rsidP="006F6C7C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6C7C" w:rsidRPr="006F6C7C" w:rsidRDefault="006F6C7C" w:rsidP="006F6C7C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6C7C" w:rsidRPr="006F6C7C" w:rsidRDefault="006F6C7C" w:rsidP="006F6C7C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6C7C" w:rsidRPr="006F6C7C" w:rsidRDefault="006F6C7C" w:rsidP="006F6C7C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</w:tr>
      <w:tr w:rsidR="00F15C36" w:rsidRPr="006F6C7C">
        <w:trPr>
          <w:trHeight w:val="330"/>
        </w:trPr>
        <w:tc>
          <w:tcPr>
            <w:tcW w:w="399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C36" w:rsidRPr="006F6C7C" w:rsidRDefault="00F15C36" w:rsidP="00F15C36">
            <w:pPr>
              <w:rPr>
                <w:rFonts w:ascii="Arial" w:hAnsi="Arial"/>
                <w:b/>
                <w:bCs/>
                <w:lang w:eastAsia="zh-CN"/>
              </w:rPr>
            </w:pPr>
            <w:r w:rsidRPr="006F6C7C">
              <w:rPr>
                <w:rFonts w:ascii="Arial" w:hAnsi="Arial"/>
                <w:b/>
                <w:bCs/>
                <w:lang w:eastAsia="zh-CN"/>
              </w:rPr>
              <w:t xml:space="preserve"> Záväzky</w:t>
            </w:r>
          </w:p>
        </w:tc>
        <w:tc>
          <w:tcPr>
            <w:tcW w:w="114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15C36" w:rsidRPr="00EE4129" w:rsidRDefault="00F15C36" w:rsidP="00F15C36">
            <w:pPr>
              <w:jc w:val="center"/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31.12.201</w:t>
            </w:r>
            <w:r w:rsidR="00EE4129" w:rsidRPr="00EE4129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7</w:t>
            </w:r>
          </w:p>
        </w:tc>
        <w:tc>
          <w:tcPr>
            <w:tcW w:w="124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15C36" w:rsidRPr="00252B9A" w:rsidRDefault="00F15C36" w:rsidP="00F15C3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EE412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EE4129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.201</w:t>
            </w:r>
            <w:r w:rsidR="00EE4129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9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F15C36" w:rsidRPr="00252B9A" w:rsidRDefault="00F15C36" w:rsidP="00F15C3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EE412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EE4129"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.201</w:t>
            </w:r>
            <w:r w:rsidR="00EE4129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F15C36" w:rsidRPr="00CB7CBF" w:rsidRDefault="00F15C36" w:rsidP="00F15C36">
            <w:pPr>
              <w:jc w:val="center"/>
              <w:rPr>
                <w:rFonts w:ascii="Arial" w:hAnsi="Arial"/>
                <w:sz w:val="14"/>
                <w:szCs w:val="14"/>
                <w:lang w:eastAsia="zh-CN"/>
              </w:rPr>
            </w:pP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>zmena (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rok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>.201</w:t>
            </w:r>
            <w:r w:rsidR="00EE4129">
              <w:rPr>
                <w:rFonts w:ascii="Arial" w:hAnsi="Arial"/>
                <w:sz w:val="14"/>
                <w:szCs w:val="14"/>
                <w:lang w:eastAsia="zh-CN"/>
              </w:rPr>
              <w:t>8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 xml:space="preserve"> – 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rok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 xml:space="preserve"> 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20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>1</w:t>
            </w:r>
            <w:r w:rsidR="00EE4129">
              <w:rPr>
                <w:rFonts w:ascii="Arial" w:hAnsi="Arial"/>
                <w:sz w:val="14"/>
                <w:szCs w:val="14"/>
                <w:lang w:eastAsia="zh-CN"/>
              </w:rPr>
              <w:t>7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>)</w:t>
            </w:r>
          </w:p>
        </w:tc>
      </w:tr>
      <w:tr w:rsidR="002635E9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63078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El. energia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63078F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  <w:t>23 408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63078F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25 921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24 779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1 371</w:t>
            </w:r>
          </w:p>
        </w:tc>
      </w:tr>
      <w:tr w:rsidR="002635E9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63078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Vodné a stočné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63078F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  <w:t>3 111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63078F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5 448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5 621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2 510</w:t>
            </w:r>
          </w:p>
        </w:tc>
      </w:tr>
      <w:tr w:rsidR="002635E9" w:rsidRPr="006F6C7C" w:rsidTr="00744FF0">
        <w:trPr>
          <w:trHeight w:val="300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63078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Zemný plyn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63078F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  <w:t>11 465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63078F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25 817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7 728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-3 737</w:t>
            </w:r>
          </w:p>
        </w:tc>
      </w:tr>
      <w:tr w:rsidR="002635E9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63078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DD6694">
              <w:rPr>
                <w:rFonts w:ascii="Arial" w:hAnsi="Arial"/>
                <w:sz w:val="20"/>
                <w:szCs w:val="20"/>
              </w:rPr>
              <w:t>Lieky a ŠZM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63078F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  <w:t>346 398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63078F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341 481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305 912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-40 486</w:t>
            </w:r>
          </w:p>
        </w:tc>
      </w:tr>
      <w:tr w:rsidR="002635E9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63078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Potraviny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63078F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  <w:t>16 750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63078F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16 905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16 280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-470</w:t>
            </w:r>
          </w:p>
        </w:tc>
      </w:tr>
      <w:tr w:rsidR="002635E9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63078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Daňový úrad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63078F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  <w:t>64 436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63078F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63 792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70 036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5 600</w:t>
            </w:r>
          </w:p>
        </w:tc>
      </w:tr>
      <w:tr w:rsidR="002635E9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63078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Sociálna poisťovňa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63078F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  <w:t>183 464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63078F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183 831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191 358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7 894</w:t>
            </w:r>
          </w:p>
        </w:tc>
      </w:tr>
      <w:tr w:rsidR="002635E9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63078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 xml:space="preserve"> Zdravotné poisťovne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63078F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  <w:t>73 452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63078F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72 506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75 367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1 915</w:t>
            </w:r>
          </w:p>
        </w:tc>
      </w:tr>
      <w:tr w:rsidR="002635E9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63078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Zamestnanci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63078F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  <w:t>405 829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63078F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403 136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415 560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9 731</w:t>
            </w:r>
          </w:p>
        </w:tc>
      </w:tr>
      <w:tr w:rsidR="002635E9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63078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Ostatné+Investície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63078F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  <w:t>364 508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63078F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227 446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176 444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-188 064</w:t>
            </w:r>
          </w:p>
        </w:tc>
      </w:tr>
      <w:tr w:rsidR="002635E9" w:rsidRPr="006F6C7C" w:rsidTr="00744FF0">
        <w:trPr>
          <w:trHeight w:val="285"/>
        </w:trPr>
        <w:tc>
          <w:tcPr>
            <w:tcW w:w="399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63078F">
            <w:pPr>
              <w:rPr>
                <w:rFonts w:ascii="Arial" w:hAnsi="Arial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  <w:u w:val="single"/>
              </w:rPr>
              <w:t xml:space="preserve"> Krátkodobé záväzky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35E9" w:rsidRPr="00EE4129" w:rsidRDefault="002635E9" w:rsidP="0063078F">
            <w:pPr>
              <w:jc w:val="right"/>
              <w:rPr>
                <w:rFonts w:ascii="Arial CE" w:hAnsi="Arial CE" w:cs="Arial CE"/>
                <w:i/>
                <w:iCs/>
                <w:color w:val="808080" w:themeColor="background1" w:themeShade="80"/>
                <w:sz w:val="20"/>
                <w:szCs w:val="20"/>
                <w:u w:val="single"/>
              </w:rPr>
            </w:pPr>
            <w:r w:rsidRPr="00EE4129">
              <w:rPr>
                <w:rFonts w:ascii="Arial CE" w:hAnsi="Arial CE" w:cs="Arial CE"/>
                <w:i/>
                <w:iCs/>
                <w:color w:val="808080" w:themeColor="background1" w:themeShade="80"/>
                <w:sz w:val="20"/>
                <w:szCs w:val="20"/>
                <w:u w:val="single"/>
              </w:rPr>
              <w:t>1 492 821</w:t>
            </w:r>
          </w:p>
        </w:tc>
        <w:tc>
          <w:tcPr>
            <w:tcW w:w="124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63078F">
            <w:pPr>
              <w:jc w:val="right"/>
              <w:rPr>
                <w:rFonts w:ascii="Arial CE" w:hAnsi="Arial CE" w:cs="Arial CE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Arial CE" w:hAnsi="Arial CE" w:cs="Arial CE"/>
                <w:i/>
                <w:iCs/>
                <w:sz w:val="22"/>
                <w:szCs w:val="22"/>
                <w:u w:val="single"/>
              </w:rPr>
              <w:t>1 366 283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Arial CE" w:hAnsi="Arial CE" w:cs="Arial CE"/>
                <w:i/>
                <w:iCs/>
                <w:sz w:val="22"/>
                <w:szCs w:val="22"/>
                <w:u w:val="single"/>
              </w:rPr>
              <w:t>1 289 085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 CE" w:hAnsi="Arial CE" w:cs="Arial CE"/>
                <w:i/>
                <w:iCs/>
                <w:sz w:val="18"/>
                <w:szCs w:val="18"/>
                <w:u w:val="single"/>
              </w:rPr>
              <w:t>-203 736</w:t>
            </w:r>
          </w:p>
        </w:tc>
      </w:tr>
      <w:tr w:rsidR="002635E9" w:rsidRPr="006F6C7C" w:rsidTr="00744FF0">
        <w:trPr>
          <w:trHeight w:val="300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63078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Leasing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35E9" w:rsidRPr="00EE4129" w:rsidRDefault="002635E9" w:rsidP="0063078F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63078F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74 440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74 440</w:t>
            </w:r>
          </w:p>
        </w:tc>
      </w:tr>
      <w:tr w:rsidR="002635E9" w:rsidRPr="006F6C7C" w:rsidTr="00744FF0">
        <w:trPr>
          <w:trHeight w:val="300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63078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Bankové výpomoci a pôžičky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35E9" w:rsidRPr="00EE4129" w:rsidRDefault="002635E9" w:rsidP="0063078F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  <w:t>498 898</w:t>
            </w:r>
          </w:p>
        </w:tc>
        <w:tc>
          <w:tcPr>
            <w:tcW w:w="124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63078F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438 403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377 908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-120 990</w:t>
            </w:r>
          </w:p>
        </w:tc>
      </w:tr>
      <w:tr w:rsidR="002635E9" w:rsidRPr="006F6C7C" w:rsidTr="00744FF0">
        <w:trPr>
          <w:trHeight w:val="300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63078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Krátkodobé rezervy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35E9" w:rsidRPr="00EE4129" w:rsidRDefault="002635E9" w:rsidP="0063078F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  <w:t>172 594</w:t>
            </w:r>
          </w:p>
        </w:tc>
        <w:tc>
          <w:tcPr>
            <w:tcW w:w="124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63078F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172 594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172 594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0</w:t>
            </w:r>
          </w:p>
        </w:tc>
      </w:tr>
      <w:tr w:rsidR="002635E9" w:rsidRPr="006F6C7C" w:rsidTr="00744FF0">
        <w:trPr>
          <w:trHeight w:val="300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63078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Záväzky zo sociálneho fondu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2635E9" w:rsidRPr="00EE4129" w:rsidRDefault="002635E9" w:rsidP="0063078F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 CE" w:hAnsi="Arial CE" w:cs="Arial CE"/>
                <w:color w:val="808080" w:themeColor="background1" w:themeShade="80"/>
                <w:sz w:val="20"/>
                <w:szCs w:val="20"/>
              </w:rPr>
              <w:t>14 445</w:t>
            </w:r>
          </w:p>
        </w:tc>
        <w:tc>
          <w:tcPr>
            <w:tcW w:w="124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63078F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20 218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21 635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7 190</w:t>
            </w:r>
          </w:p>
        </w:tc>
      </w:tr>
      <w:tr w:rsidR="002635E9" w:rsidRPr="006F6C7C" w:rsidTr="00744FF0">
        <w:trPr>
          <w:trHeight w:val="330"/>
        </w:trPr>
        <w:tc>
          <w:tcPr>
            <w:tcW w:w="39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Default="002635E9" w:rsidP="0063078F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1141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63078F">
            <w:pPr>
              <w:jc w:val="right"/>
              <w:rPr>
                <w:rFonts w:ascii="Arial CE" w:hAnsi="Arial CE" w:cs="Arial CE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 CE" w:hAnsi="Arial CE" w:cs="Arial CE"/>
                <w:b/>
                <w:bCs/>
                <w:color w:val="808080" w:themeColor="background1" w:themeShade="80"/>
                <w:sz w:val="20"/>
                <w:szCs w:val="20"/>
              </w:rPr>
              <w:t>2 178 758</w:t>
            </w:r>
          </w:p>
        </w:tc>
        <w:tc>
          <w:tcPr>
            <w:tcW w:w="124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63078F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1 997 498</w:t>
            </w:r>
          </w:p>
        </w:tc>
        <w:tc>
          <w:tcPr>
            <w:tcW w:w="119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1 935 662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hAnsi="Arial CE" w:cs="Arial CE"/>
                <w:b/>
                <w:bCs/>
                <w:sz w:val="18"/>
                <w:szCs w:val="18"/>
              </w:rPr>
              <w:t>-243 096</w:t>
            </w:r>
          </w:p>
        </w:tc>
      </w:tr>
      <w:tr w:rsidR="00F15C36" w:rsidRPr="006F6C7C">
        <w:trPr>
          <w:trHeight w:val="285"/>
        </w:trPr>
        <w:tc>
          <w:tcPr>
            <w:tcW w:w="39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15C36" w:rsidRPr="006F6C7C" w:rsidRDefault="00F15C36" w:rsidP="00F15C36">
            <w:pPr>
              <w:rPr>
                <w:rFonts w:ascii="Arial" w:hAnsi="Arial"/>
                <w:sz w:val="20"/>
                <w:szCs w:val="20"/>
                <w:lang w:eastAsia="zh-CN"/>
              </w:rPr>
            </w:pPr>
            <w:r w:rsidRPr="006F6C7C">
              <w:rPr>
                <w:rFonts w:ascii="Arial" w:hAnsi="Arial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141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15C36" w:rsidRPr="00300ED6" w:rsidRDefault="00F15C36" w:rsidP="00F15C3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4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F15C36" w:rsidRPr="00300ED6" w:rsidRDefault="00F15C36" w:rsidP="00F15C3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C36" w:rsidRPr="00300ED6" w:rsidRDefault="00F15C36" w:rsidP="00F15C3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</w:tcPr>
          <w:p w:rsidR="00F15C36" w:rsidRPr="006F6C7C" w:rsidRDefault="00F15C36" w:rsidP="00F15C36">
            <w:pPr>
              <w:rPr>
                <w:rFonts w:ascii="Arial" w:hAnsi="Arial"/>
                <w:sz w:val="18"/>
                <w:szCs w:val="18"/>
                <w:lang w:eastAsia="zh-CN"/>
              </w:rPr>
            </w:pPr>
          </w:p>
        </w:tc>
      </w:tr>
      <w:tr w:rsidR="00EE4129" w:rsidRPr="006F6C7C">
        <w:trPr>
          <w:trHeight w:val="330"/>
        </w:trPr>
        <w:tc>
          <w:tcPr>
            <w:tcW w:w="399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129" w:rsidRPr="006F6C7C" w:rsidRDefault="00EE4129" w:rsidP="00EE4129">
            <w:pPr>
              <w:rPr>
                <w:rFonts w:ascii="Arial" w:hAnsi="Arial"/>
                <w:b/>
                <w:bCs/>
                <w:lang w:eastAsia="zh-CN"/>
              </w:rPr>
            </w:pPr>
            <w:r w:rsidRPr="006F6C7C">
              <w:rPr>
                <w:rFonts w:ascii="Arial" w:hAnsi="Arial"/>
                <w:b/>
                <w:bCs/>
                <w:lang w:eastAsia="zh-CN"/>
              </w:rPr>
              <w:t>Pohľadávky</w:t>
            </w:r>
          </w:p>
        </w:tc>
        <w:tc>
          <w:tcPr>
            <w:tcW w:w="114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E4129" w:rsidRPr="00EE4129" w:rsidRDefault="00EE4129" w:rsidP="00EE4129">
            <w:pPr>
              <w:jc w:val="center"/>
              <w:rPr>
                <w:rFonts w:ascii="Arial" w:hAnsi="Arial" w:cs="Arial"/>
                <w:b/>
                <w:bCs/>
                <w:color w:val="808080" w:themeColor="background1" w:themeShade="80"/>
                <w:sz w:val="18"/>
                <w:szCs w:val="18"/>
              </w:rPr>
            </w:pPr>
            <w:r w:rsidRPr="00EE4129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31.12.2017</w:t>
            </w:r>
          </w:p>
        </w:tc>
        <w:tc>
          <w:tcPr>
            <w:tcW w:w="124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E4129" w:rsidRPr="00252B9A" w:rsidRDefault="00EE4129" w:rsidP="00EE41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9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E4129" w:rsidRPr="00252B9A" w:rsidRDefault="00EE4129" w:rsidP="00EE41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EE4129" w:rsidRPr="00CB7CBF" w:rsidRDefault="00EE4129" w:rsidP="00EE4129">
            <w:pPr>
              <w:jc w:val="center"/>
              <w:rPr>
                <w:rFonts w:ascii="Arial" w:hAnsi="Arial"/>
                <w:sz w:val="14"/>
                <w:szCs w:val="14"/>
                <w:lang w:eastAsia="zh-CN"/>
              </w:rPr>
            </w:pP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>zmena (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rok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>.201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8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 xml:space="preserve"> – 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rok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 xml:space="preserve"> 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20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>1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7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>)</w:t>
            </w:r>
          </w:p>
        </w:tc>
      </w:tr>
      <w:tr w:rsidR="002635E9" w:rsidRPr="006F6C7C" w:rsidTr="004E5AD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35E9" w:rsidRDefault="002635E9" w:rsidP="00EE412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VšZP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a.s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EE4129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1 537 776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EE412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971 791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864 599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-673 177</w:t>
            </w:r>
          </w:p>
        </w:tc>
      </w:tr>
      <w:tr w:rsidR="002635E9" w:rsidRPr="006F6C7C" w:rsidTr="004E5AD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35E9" w:rsidRDefault="002635E9" w:rsidP="00EE412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Dôvera ZP, a.s.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EE4129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152 885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EE412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155 070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162 553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9 668</w:t>
            </w:r>
          </w:p>
        </w:tc>
      </w:tr>
      <w:tr w:rsidR="002635E9" w:rsidRPr="006F6C7C" w:rsidTr="004E5AD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35E9" w:rsidRDefault="002635E9" w:rsidP="00EE412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Union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ZP,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a.s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EE4129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130 276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EE412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110 868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111 203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-19 073</w:t>
            </w:r>
          </w:p>
        </w:tc>
      </w:tr>
      <w:tr w:rsidR="002635E9" w:rsidRPr="006F6C7C" w:rsidTr="004E5AD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35E9" w:rsidRDefault="002635E9" w:rsidP="00EE412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Ostatné </w:t>
            </w:r>
            <w:r>
              <w:rPr>
                <w:rFonts w:ascii="Arial" w:hAnsi="Arial"/>
                <w:sz w:val="12"/>
                <w:szCs w:val="12"/>
              </w:rPr>
              <w:t xml:space="preserve">z poskytovania </w:t>
            </w:r>
            <w:proofErr w:type="spellStart"/>
            <w:r>
              <w:rPr>
                <w:rFonts w:ascii="Arial" w:hAnsi="Arial"/>
                <w:sz w:val="12"/>
                <w:szCs w:val="12"/>
              </w:rPr>
              <w:t>zdr</w:t>
            </w:r>
            <w:proofErr w:type="spellEnd"/>
            <w:r>
              <w:rPr>
                <w:rFonts w:ascii="Arial" w:hAnsi="Arial"/>
                <w:sz w:val="12"/>
                <w:szCs w:val="12"/>
              </w:rPr>
              <w:t>. starostlivosti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EE4129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EE412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635E9" w:rsidRPr="006F6C7C" w:rsidTr="004E5AD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35E9" w:rsidRDefault="002635E9" w:rsidP="00EE4129">
            <w:pPr>
              <w:rPr>
                <w:rFonts w:ascii="Arial" w:hAnsi="Arial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  <w:u w:val="single"/>
              </w:rPr>
              <w:t>Spolu poisťovne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EE4129">
            <w:pPr>
              <w:jc w:val="right"/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u w:val="single"/>
              </w:rPr>
            </w:pPr>
            <w:r w:rsidRPr="00EE4129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u w:val="single"/>
              </w:rPr>
              <w:t>1 820 937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EE4129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  <w:t>1 237 729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  <w:t>1 138 355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-682 582</w:t>
            </w:r>
          </w:p>
        </w:tc>
      </w:tr>
      <w:tr w:rsidR="002635E9" w:rsidRPr="006F6C7C" w:rsidTr="004E5AD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EE412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Za predané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transf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. lieky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EE4129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7 346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EE412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14 614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27 365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20 019</w:t>
            </w:r>
          </w:p>
        </w:tc>
      </w:tr>
      <w:tr w:rsidR="002635E9" w:rsidRPr="006F6C7C" w:rsidTr="004E5AD0">
        <w:trPr>
          <w:trHeight w:val="300"/>
        </w:trPr>
        <w:tc>
          <w:tcPr>
            <w:tcW w:w="399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EE412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Ostatné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EE4129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7 283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EE412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5 205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8 251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968</w:t>
            </w:r>
          </w:p>
        </w:tc>
      </w:tr>
      <w:tr w:rsidR="002635E9" w:rsidRPr="006F6C7C" w:rsidTr="004E5AD0">
        <w:trPr>
          <w:trHeight w:val="300"/>
        </w:trPr>
        <w:tc>
          <w:tcPr>
            <w:tcW w:w="399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E9" w:rsidRDefault="002635E9" w:rsidP="00EE412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Projekty </w:t>
            </w:r>
            <w:r>
              <w:rPr>
                <w:rFonts w:ascii="Arial" w:hAnsi="Arial"/>
                <w:sz w:val="14"/>
                <w:szCs w:val="14"/>
              </w:rPr>
              <w:t>(PSK, ÚPSVaR, a iné)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EE4129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49 444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EE412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49 007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45 011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-4 433</w:t>
            </w:r>
          </w:p>
        </w:tc>
      </w:tr>
      <w:tr w:rsidR="002635E9" w:rsidRPr="006F6C7C" w:rsidTr="004E5AD0">
        <w:trPr>
          <w:trHeight w:val="330"/>
        </w:trPr>
        <w:tc>
          <w:tcPr>
            <w:tcW w:w="3997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2635E9" w:rsidRDefault="002635E9" w:rsidP="00EE4129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635E9" w:rsidRPr="00EE4129" w:rsidRDefault="002635E9" w:rsidP="00EE4129">
            <w:pPr>
              <w:jc w:val="right"/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EE4129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1 885 010</w:t>
            </w:r>
          </w:p>
        </w:tc>
        <w:tc>
          <w:tcPr>
            <w:tcW w:w="124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 w:rsidP="00EE4129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1 306 555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1 218 982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2635E9" w:rsidRDefault="002635E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-666 028</w:t>
            </w:r>
          </w:p>
        </w:tc>
      </w:tr>
    </w:tbl>
    <w:p w:rsidR="00323D84" w:rsidRDefault="00323D84" w:rsidP="009068E1">
      <w:pPr>
        <w:widowControl w:val="0"/>
        <w:autoSpaceDE w:val="0"/>
        <w:autoSpaceDN w:val="0"/>
        <w:adjustRightInd w:val="0"/>
        <w:jc w:val="both"/>
      </w:pPr>
    </w:p>
    <w:p w:rsidR="00621CEB" w:rsidRDefault="00621CEB" w:rsidP="006906C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906C7" w:rsidRPr="00B86A60" w:rsidRDefault="006906C7" w:rsidP="006906C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05737">
        <w:rPr>
          <w:b/>
          <w:sz w:val="28"/>
          <w:szCs w:val="28"/>
        </w:rPr>
        <w:t>Personálna oblasť</w:t>
      </w:r>
    </w:p>
    <w:p w:rsidR="006906C7" w:rsidRPr="002E0380" w:rsidRDefault="001A5FD7" w:rsidP="00DC7B20">
      <w:pPr>
        <w:widowControl w:val="0"/>
        <w:autoSpaceDE w:val="0"/>
        <w:autoSpaceDN w:val="0"/>
        <w:adjustRightInd w:val="0"/>
        <w:jc w:val="both"/>
      </w:pPr>
      <w:r w:rsidRPr="00B86A60">
        <w:tab/>
      </w:r>
      <w:r w:rsidR="00155D21" w:rsidRPr="00B86A60">
        <w:t>K</w:t>
      </w:r>
      <w:r w:rsidRPr="00B86A60">
        <w:t> 3</w:t>
      </w:r>
      <w:r w:rsidR="00B05737">
        <w:t>0</w:t>
      </w:r>
      <w:r w:rsidRPr="00B86A60">
        <w:t>.</w:t>
      </w:r>
      <w:r w:rsidR="008F582E">
        <w:t>0</w:t>
      </w:r>
      <w:r w:rsidR="00B05737">
        <w:t>6</w:t>
      </w:r>
      <w:r w:rsidRPr="00B86A60">
        <w:t>.20</w:t>
      </w:r>
      <w:r w:rsidR="00AE36C0" w:rsidRPr="00B86A60">
        <w:t>1</w:t>
      </w:r>
      <w:r w:rsidR="008F582E">
        <w:t>8</w:t>
      </w:r>
      <w:r w:rsidR="00C93B15" w:rsidRPr="00B86A60">
        <w:t xml:space="preserve"> ĽN, n.o.</w:t>
      </w:r>
      <w:r w:rsidRPr="00B86A60">
        <w:t xml:space="preserve"> </w:t>
      </w:r>
      <w:r w:rsidR="005C60DB" w:rsidRPr="00B86A60">
        <w:t>má priemerný prepočítaný evidenčný počet zamestnancov</w:t>
      </w:r>
      <w:r w:rsidR="00155D21" w:rsidRPr="00B86A60">
        <w:t xml:space="preserve"> </w:t>
      </w:r>
      <w:r w:rsidR="009A5221" w:rsidRPr="00B86A60">
        <w:t>4</w:t>
      </w:r>
      <w:r w:rsidR="00B05737">
        <w:t>40</w:t>
      </w:r>
      <w:r w:rsidR="0061236E" w:rsidRPr="00B86A60">
        <w:t>,</w:t>
      </w:r>
      <w:r w:rsidR="00B05737">
        <w:t>96</w:t>
      </w:r>
      <w:r w:rsidR="008311F6" w:rsidRPr="00B86A60">
        <w:t xml:space="preserve"> evidenčný</w:t>
      </w:r>
      <w:r w:rsidR="008311F6">
        <w:t xml:space="preserve"> počet zamestnancov vo fyzických osobách je </w:t>
      </w:r>
      <w:r w:rsidR="00C037D3">
        <w:t>4</w:t>
      </w:r>
      <w:r w:rsidR="00B05737">
        <w:t>54</w:t>
      </w:r>
      <w:r w:rsidRPr="002E0380">
        <w:t xml:space="preserve">. </w:t>
      </w:r>
      <w:r w:rsidR="00C93B15" w:rsidRPr="00C93B15">
        <w:t>Priemern</w:t>
      </w:r>
      <w:bookmarkStart w:id="1" w:name="_GoBack"/>
      <w:bookmarkEnd w:id="1"/>
      <w:r w:rsidR="00C93B15" w:rsidRPr="00C93B15">
        <w:t>á mzda vrátane náhrad za pracovnú pohotovosť</w:t>
      </w:r>
      <w:r w:rsidRPr="002E0380">
        <w:t xml:space="preserve"> </w:t>
      </w:r>
      <w:r w:rsidR="00C93B15">
        <w:t xml:space="preserve">bola </w:t>
      </w:r>
      <w:r w:rsidR="00592D87">
        <w:t xml:space="preserve">k </w:t>
      </w:r>
      <w:r w:rsidR="00B52A29">
        <w:t>3</w:t>
      </w:r>
      <w:r w:rsidR="00B05737">
        <w:t>0</w:t>
      </w:r>
      <w:r w:rsidR="00B52A29">
        <w:t>.</w:t>
      </w:r>
      <w:r w:rsidR="00613D30">
        <w:t>0</w:t>
      </w:r>
      <w:r w:rsidR="00B05737">
        <w:t>6</w:t>
      </w:r>
      <w:r w:rsidR="00B52A29">
        <w:t>.</w:t>
      </w:r>
      <w:r w:rsidR="00C93B15">
        <w:t>20</w:t>
      </w:r>
      <w:r w:rsidR="00AE36C0">
        <w:t>1</w:t>
      </w:r>
      <w:r w:rsidR="00613D30">
        <w:t>8</w:t>
      </w:r>
      <w:r w:rsidR="009C3EA6">
        <w:t xml:space="preserve"> </w:t>
      </w:r>
      <w:r w:rsidR="00155D21" w:rsidRPr="002E0380">
        <w:t xml:space="preserve"> </w:t>
      </w:r>
      <w:r w:rsidR="00EC7CB5">
        <w:t>1.</w:t>
      </w:r>
      <w:r w:rsidR="00B05737">
        <w:t>209</w:t>
      </w:r>
      <w:r w:rsidRPr="002E0380">
        <w:t xml:space="preserve">,- </w:t>
      </w:r>
      <w:r w:rsidR="004D3263">
        <w:t>€</w:t>
      </w:r>
      <w:r w:rsidRPr="002E0380">
        <w:t>.</w:t>
      </w:r>
      <w:r w:rsidR="00C93B15">
        <w:t xml:space="preserve"> </w:t>
      </w:r>
      <w:r w:rsidRPr="004B3C1E">
        <w:t xml:space="preserve">Osobné náklady tvoria </w:t>
      </w:r>
      <w:r w:rsidR="00724135">
        <w:t>6</w:t>
      </w:r>
      <w:r w:rsidR="00F538F2">
        <w:t>3</w:t>
      </w:r>
      <w:r w:rsidR="00C92D34" w:rsidRPr="004B3C1E">
        <w:t>,</w:t>
      </w:r>
      <w:r w:rsidR="00F538F2">
        <w:t>4</w:t>
      </w:r>
      <w:r w:rsidR="00C92D34" w:rsidRPr="004B3C1E">
        <w:t>% z</w:t>
      </w:r>
      <w:r w:rsidR="006C67DB">
        <w:t> </w:t>
      </w:r>
      <w:r w:rsidR="00724135">
        <w:t>výnosov.</w:t>
      </w:r>
    </w:p>
    <w:p w:rsidR="00066FDC" w:rsidRDefault="00066FDC" w:rsidP="006906C7">
      <w:pPr>
        <w:widowControl w:val="0"/>
        <w:autoSpaceDE w:val="0"/>
        <w:autoSpaceDN w:val="0"/>
        <w:adjustRightInd w:val="0"/>
        <w:jc w:val="both"/>
      </w:pPr>
    </w:p>
    <w:p w:rsidR="002267E5" w:rsidRPr="00027369" w:rsidRDefault="002267E5" w:rsidP="006906C7">
      <w:pPr>
        <w:widowControl w:val="0"/>
        <w:autoSpaceDE w:val="0"/>
        <w:autoSpaceDN w:val="0"/>
        <w:adjustRightInd w:val="0"/>
        <w:jc w:val="both"/>
      </w:pPr>
    </w:p>
    <w:p w:rsidR="006906C7" w:rsidRPr="003E3E7E" w:rsidRDefault="006906C7" w:rsidP="006906C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36A53">
        <w:rPr>
          <w:b/>
          <w:sz w:val="28"/>
          <w:szCs w:val="28"/>
        </w:rPr>
        <w:t>Poskytovanie zdravotnej starostlivosti</w:t>
      </w:r>
    </w:p>
    <w:p w:rsidR="0061236E" w:rsidRPr="0019585E" w:rsidRDefault="00155D21" w:rsidP="00874FF2">
      <w:pPr>
        <w:widowControl w:val="0"/>
        <w:autoSpaceDE w:val="0"/>
        <w:autoSpaceDN w:val="0"/>
        <w:adjustRightInd w:val="0"/>
        <w:jc w:val="both"/>
      </w:pPr>
      <w:r w:rsidRPr="003E3E7E">
        <w:tab/>
      </w:r>
      <w:r w:rsidR="0061236E" w:rsidRPr="003E3E7E">
        <w:t>ĽN, n.o. poskytuje zdravotnú starostlivosť pre spádovú oblasť okresu Stará Ľubovňa čo je takmer 5</w:t>
      </w:r>
      <w:r w:rsidR="00260983" w:rsidRPr="003E3E7E">
        <w:t>3</w:t>
      </w:r>
      <w:r w:rsidR="0061236E" w:rsidRPr="003E3E7E">
        <w:t xml:space="preserve"> tis. obyvateľov. K uvedenému je ešte potrebné zvýrazniť </w:t>
      </w:r>
      <w:r w:rsidR="00C47EEE" w:rsidRPr="003E3E7E">
        <w:t>2</w:t>
      </w:r>
      <w:r w:rsidR="0008314D">
        <w:t>6</w:t>
      </w:r>
      <w:r w:rsidR="0061236E" w:rsidRPr="003E3E7E">
        <w:t>,</w:t>
      </w:r>
      <w:r w:rsidR="00A94DC4">
        <w:t>3</w:t>
      </w:r>
      <w:r w:rsidR="0061236E" w:rsidRPr="003E3E7E">
        <w:t xml:space="preserve"> % podiel poskytnutej zdravotnej</w:t>
      </w:r>
      <w:r w:rsidR="0061236E" w:rsidRPr="0052236C">
        <w:t xml:space="preserve"> starostlivosti klientom mimo spádovej oblasti t.j.  </w:t>
      </w:r>
      <w:r w:rsidR="00A94DC4">
        <w:t>1.586</w:t>
      </w:r>
      <w:r w:rsidR="0061236E" w:rsidRPr="0052236C">
        <w:t xml:space="preserve"> UH.</w:t>
      </w:r>
      <w:r w:rsidR="0061236E" w:rsidRPr="0019585E">
        <w:t xml:space="preserve"> </w:t>
      </w:r>
    </w:p>
    <w:p w:rsidR="0061236E" w:rsidRPr="009E6CB5" w:rsidRDefault="0061236E" w:rsidP="00CF7B62">
      <w:pPr>
        <w:widowControl w:val="0"/>
        <w:autoSpaceDE w:val="0"/>
        <w:autoSpaceDN w:val="0"/>
        <w:adjustRightInd w:val="0"/>
        <w:jc w:val="both"/>
      </w:pPr>
      <w:r w:rsidRPr="0019585E">
        <w:tab/>
        <w:t xml:space="preserve">Zdravotná starostlivosť je poskytovaná na </w:t>
      </w:r>
      <w:r>
        <w:t>8</w:t>
      </w:r>
      <w:r w:rsidRPr="0019585E">
        <w:t xml:space="preserve"> lôžkových oddelenia</w:t>
      </w:r>
      <w:r>
        <w:t>ch</w:t>
      </w:r>
      <w:r w:rsidRPr="0019585E">
        <w:t>, kde bolo k 3</w:t>
      </w:r>
      <w:r w:rsidR="00614784">
        <w:t>0</w:t>
      </w:r>
      <w:r w:rsidRPr="0019585E">
        <w:t>.</w:t>
      </w:r>
      <w:r w:rsidR="0008314D">
        <w:t>0</w:t>
      </w:r>
      <w:r w:rsidR="00614784">
        <w:t>6</w:t>
      </w:r>
      <w:r w:rsidRPr="0019585E">
        <w:t>.201</w:t>
      </w:r>
      <w:r w:rsidR="0008314D">
        <w:t>8</w:t>
      </w:r>
      <w:r w:rsidRPr="0019585E">
        <w:t xml:space="preserve"> </w:t>
      </w:r>
      <w:r w:rsidR="0008314D">
        <w:t>prijatých</w:t>
      </w:r>
      <w:r w:rsidRPr="0019585E">
        <w:t xml:space="preserve"> </w:t>
      </w:r>
      <w:r w:rsidR="00614784">
        <w:t>5</w:t>
      </w:r>
      <w:r w:rsidRPr="0019585E">
        <w:t>.</w:t>
      </w:r>
      <w:r w:rsidR="00614784">
        <w:t>847</w:t>
      </w:r>
      <w:r w:rsidRPr="0019585E">
        <w:t xml:space="preserve"> pacientov</w:t>
      </w:r>
      <w:r w:rsidR="00614784">
        <w:t>-hospitalizačných prípadov</w:t>
      </w:r>
      <w:r w:rsidRPr="0019585E">
        <w:t xml:space="preserve"> (</w:t>
      </w:r>
      <w:r w:rsidRPr="0019585E">
        <w:rPr>
          <w:sz w:val="20"/>
          <w:szCs w:val="20"/>
        </w:rPr>
        <w:t xml:space="preserve">mesačne v priemere </w:t>
      </w:r>
      <w:r w:rsidR="00AA63DD">
        <w:rPr>
          <w:sz w:val="20"/>
          <w:szCs w:val="20"/>
        </w:rPr>
        <w:t>9</w:t>
      </w:r>
      <w:r w:rsidR="00614784">
        <w:rPr>
          <w:sz w:val="20"/>
          <w:szCs w:val="20"/>
        </w:rPr>
        <w:t>74</w:t>
      </w:r>
      <w:r w:rsidRPr="0019585E">
        <w:rPr>
          <w:sz w:val="20"/>
          <w:szCs w:val="20"/>
        </w:rPr>
        <w:t xml:space="preserve"> pacientov</w:t>
      </w:r>
      <w:r w:rsidRPr="0019585E">
        <w:t>)</w:t>
      </w:r>
      <w:r w:rsidR="0008314D">
        <w:t xml:space="preserve"> a </w:t>
      </w:r>
      <w:r w:rsidR="00614784">
        <w:t>6</w:t>
      </w:r>
      <w:r w:rsidR="0008314D">
        <w:t>.02</w:t>
      </w:r>
      <w:r w:rsidR="00614784">
        <w:t>4</w:t>
      </w:r>
      <w:r w:rsidR="0008314D">
        <w:t xml:space="preserve"> ukončených hospitalizácií</w:t>
      </w:r>
      <w:r w:rsidR="00D01E17">
        <w:t>.</w:t>
      </w:r>
      <w:r w:rsidRPr="0019585E">
        <w:t xml:space="preserve"> </w:t>
      </w:r>
      <w:r w:rsidR="00D01E17">
        <w:t>V</w:t>
      </w:r>
      <w:r w:rsidR="007B10BA">
        <w:t> ústavnej zdravotnej starostlivosti ĽN, n.o. zaznamenala</w:t>
      </w:r>
      <w:r w:rsidRPr="0019585E">
        <w:t xml:space="preserve"> </w:t>
      </w:r>
      <w:r w:rsidR="006756E4">
        <w:t>nárast</w:t>
      </w:r>
      <w:r w:rsidR="00D01E17">
        <w:t xml:space="preserve"> prijatí</w:t>
      </w:r>
      <w:r w:rsidRPr="0019585E">
        <w:t xml:space="preserve"> o</w:t>
      </w:r>
      <w:r w:rsidR="00C47EEE">
        <w:t> </w:t>
      </w:r>
      <w:r w:rsidR="00614784">
        <w:t>5</w:t>
      </w:r>
      <w:r w:rsidR="00497504">
        <w:t>,</w:t>
      </w:r>
      <w:r w:rsidR="00614784">
        <w:t>3</w:t>
      </w:r>
      <w:r w:rsidRPr="0019585E">
        <w:t xml:space="preserve"> %</w:t>
      </w:r>
      <w:r w:rsidR="00D01E17">
        <w:t xml:space="preserve"> </w:t>
      </w:r>
      <w:r w:rsidRPr="0019585E">
        <w:rPr>
          <w:sz w:val="20"/>
          <w:szCs w:val="20"/>
        </w:rPr>
        <w:t>(</w:t>
      </w:r>
      <w:r w:rsidR="00614784">
        <w:rPr>
          <w:sz w:val="20"/>
          <w:szCs w:val="20"/>
        </w:rPr>
        <w:t>294</w:t>
      </w:r>
      <w:r w:rsidR="00CA15D4">
        <w:rPr>
          <w:sz w:val="20"/>
          <w:szCs w:val="20"/>
        </w:rPr>
        <w:t xml:space="preserve"> </w:t>
      </w:r>
      <w:r w:rsidRPr="0019585E">
        <w:rPr>
          <w:sz w:val="20"/>
          <w:szCs w:val="20"/>
        </w:rPr>
        <w:t>pacientov)</w:t>
      </w:r>
      <w:r w:rsidRPr="0019585E">
        <w:t xml:space="preserve"> oproti minulému </w:t>
      </w:r>
      <w:r>
        <w:t>obdo</w:t>
      </w:r>
      <w:r w:rsidR="00014FF8">
        <w:t>biu.</w:t>
      </w:r>
      <w:r>
        <w:t xml:space="preserve"> </w:t>
      </w:r>
      <w:r w:rsidR="00014FF8">
        <w:t>P</w:t>
      </w:r>
      <w:r>
        <w:t>lánované hodnoty boli dosiahnuté</w:t>
      </w:r>
      <w:r w:rsidRPr="0019585E">
        <w:t>. Ambulantná zdravotná starostlivosť je poskytovaná v 2</w:t>
      </w:r>
      <w:r w:rsidR="006C6587">
        <w:t>5</w:t>
      </w:r>
      <w:r w:rsidRPr="0019585E">
        <w:t xml:space="preserve"> špecializovaných ambulanciách, kde k 3</w:t>
      </w:r>
      <w:r w:rsidR="00A563F9">
        <w:t>0</w:t>
      </w:r>
      <w:r w:rsidRPr="0019585E">
        <w:t>.</w:t>
      </w:r>
      <w:r w:rsidR="00D01E17">
        <w:t>0</w:t>
      </w:r>
      <w:r w:rsidR="00A563F9">
        <w:t>6</w:t>
      </w:r>
      <w:r w:rsidRPr="0019585E">
        <w:t>.201</w:t>
      </w:r>
      <w:r w:rsidR="00D01E17">
        <w:t>8</w:t>
      </w:r>
      <w:r w:rsidRPr="0019585E">
        <w:t xml:space="preserve"> </w:t>
      </w:r>
      <w:r w:rsidR="00E81D72">
        <w:t xml:space="preserve">bolo </w:t>
      </w:r>
      <w:r w:rsidRPr="0019585E">
        <w:t>vykona</w:t>
      </w:r>
      <w:r w:rsidR="00E81D72">
        <w:t>ných</w:t>
      </w:r>
      <w:r w:rsidRPr="0019585E">
        <w:t xml:space="preserve"> </w:t>
      </w:r>
      <w:r w:rsidR="00D01E17">
        <w:t>5</w:t>
      </w:r>
      <w:r w:rsidR="00A563F9">
        <w:t>1</w:t>
      </w:r>
      <w:r w:rsidRPr="0019585E">
        <w:t>.</w:t>
      </w:r>
      <w:r w:rsidR="00A563F9">
        <w:t>514</w:t>
      </w:r>
      <w:r w:rsidRPr="0019585E">
        <w:t xml:space="preserve"> vyšetrení</w:t>
      </w:r>
      <w:r w:rsidR="003E3E7E">
        <w:t>, čo</w:t>
      </w:r>
      <w:r w:rsidR="00D01E17">
        <w:t xml:space="preserve"> predstavovalo </w:t>
      </w:r>
      <w:r w:rsidR="006C6587">
        <w:t>23</w:t>
      </w:r>
      <w:r w:rsidR="00D01E17">
        <w:t>.4</w:t>
      </w:r>
      <w:r w:rsidR="006C6587">
        <w:t>93</w:t>
      </w:r>
      <w:r w:rsidR="00D01E17">
        <w:t>.</w:t>
      </w:r>
      <w:r w:rsidR="006C6587">
        <w:t>472</w:t>
      </w:r>
      <w:r w:rsidR="00D01E17">
        <w:t xml:space="preserve"> bodov a</w:t>
      </w:r>
      <w:r w:rsidR="003E3E7E">
        <w:t xml:space="preserve"> </w:t>
      </w:r>
      <w:r w:rsidR="00D01E17">
        <w:t>nárast</w:t>
      </w:r>
      <w:r w:rsidR="003E3E7E">
        <w:t xml:space="preserve"> </w:t>
      </w:r>
      <w:r w:rsidR="003E3E7E" w:rsidRPr="0019585E">
        <w:t>o</w:t>
      </w:r>
      <w:r w:rsidR="003E3E7E">
        <w:t> </w:t>
      </w:r>
      <w:r w:rsidR="0092217F">
        <w:t>1</w:t>
      </w:r>
      <w:r w:rsidR="006C6587">
        <w:t>7</w:t>
      </w:r>
      <w:r w:rsidR="003E3E7E">
        <w:t>,</w:t>
      </w:r>
      <w:r w:rsidR="006C6587">
        <w:t>1</w:t>
      </w:r>
      <w:r w:rsidR="003E3E7E" w:rsidRPr="0019585E">
        <w:t xml:space="preserve"> % oproti minulému </w:t>
      </w:r>
      <w:r w:rsidR="003E3E7E">
        <w:t>obdobiu.</w:t>
      </w:r>
      <w:r w:rsidRPr="0019585E">
        <w:t xml:space="preserve"> Okrem uvedenej zdravotnej starostlivosti ĽN, n.o. zabezpečuje 24 hodinovú diagnostiku na rádiologickom</w:t>
      </w:r>
      <w:r w:rsidR="00D01E17">
        <w:t xml:space="preserve"> oddelení </w:t>
      </w:r>
      <w:r w:rsidR="00D01E17" w:rsidRPr="0019585E">
        <w:t xml:space="preserve">kde bolo realizovaných </w:t>
      </w:r>
      <w:r w:rsidR="006C6587">
        <w:t>30</w:t>
      </w:r>
      <w:r w:rsidR="00D01E17" w:rsidRPr="0019585E">
        <w:t>.</w:t>
      </w:r>
      <w:r w:rsidR="006C6587">
        <w:t>404</w:t>
      </w:r>
      <w:r w:rsidR="00D01E17" w:rsidRPr="0019585E">
        <w:t xml:space="preserve"> vyšetrení</w:t>
      </w:r>
      <w:r w:rsidR="00D01E17">
        <w:t xml:space="preserve">, čo predstavovalo </w:t>
      </w:r>
      <w:r w:rsidR="006C6587">
        <w:t>194</w:t>
      </w:r>
      <w:r w:rsidR="00D01E17">
        <w:t>.</w:t>
      </w:r>
      <w:r w:rsidR="006C6587">
        <w:t>683</w:t>
      </w:r>
      <w:r w:rsidR="00D01E17">
        <w:t>.</w:t>
      </w:r>
      <w:r w:rsidR="006C6587">
        <w:t>640</w:t>
      </w:r>
      <w:r w:rsidR="00D01E17">
        <w:t xml:space="preserve"> bodov a nárast </w:t>
      </w:r>
      <w:r w:rsidR="00D01E17" w:rsidRPr="0019585E">
        <w:t>o</w:t>
      </w:r>
      <w:r w:rsidR="00D01E17">
        <w:t> 1</w:t>
      </w:r>
      <w:r w:rsidR="006C6587">
        <w:t>6</w:t>
      </w:r>
      <w:r w:rsidR="00D01E17">
        <w:t>,</w:t>
      </w:r>
      <w:r w:rsidR="006C6587">
        <w:t>7</w:t>
      </w:r>
      <w:r w:rsidR="00D01E17" w:rsidRPr="0019585E">
        <w:t xml:space="preserve"> % oproti minulému </w:t>
      </w:r>
      <w:r w:rsidR="00D01E17">
        <w:t>obdobiu</w:t>
      </w:r>
      <w:r w:rsidRPr="0019585E">
        <w:t xml:space="preserve"> a hematologicko-biochemickom oddelení, kde bolo realizovaných </w:t>
      </w:r>
      <w:r w:rsidR="006C6587">
        <w:t>69</w:t>
      </w:r>
      <w:r w:rsidRPr="0019585E">
        <w:t>.</w:t>
      </w:r>
      <w:r w:rsidR="006C6587">
        <w:t>323</w:t>
      </w:r>
      <w:r w:rsidRPr="0019585E">
        <w:t xml:space="preserve"> vyšetrení</w:t>
      </w:r>
      <w:r w:rsidR="003E3E7E">
        <w:t xml:space="preserve">, </w:t>
      </w:r>
      <w:r w:rsidR="005C4D1D">
        <w:t xml:space="preserve">čo predstavovalo </w:t>
      </w:r>
      <w:r w:rsidR="006C6587">
        <w:t>72</w:t>
      </w:r>
      <w:r w:rsidR="005C4D1D">
        <w:t>.</w:t>
      </w:r>
      <w:r w:rsidR="006C6587">
        <w:t>577</w:t>
      </w:r>
      <w:r w:rsidR="005C4D1D">
        <w:t>.</w:t>
      </w:r>
      <w:r w:rsidR="006C6587">
        <w:t>895</w:t>
      </w:r>
      <w:r w:rsidR="005C4D1D">
        <w:t xml:space="preserve"> bodov a nárast </w:t>
      </w:r>
      <w:r w:rsidR="005C4D1D" w:rsidRPr="0019585E">
        <w:t>o</w:t>
      </w:r>
      <w:r w:rsidR="005C4D1D">
        <w:t> </w:t>
      </w:r>
      <w:r w:rsidR="006C6587">
        <w:t>13</w:t>
      </w:r>
      <w:r w:rsidR="005C4D1D">
        <w:t>,</w:t>
      </w:r>
      <w:r w:rsidR="006C6587">
        <w:t>1</w:t>
      </w:r>
      <w:r w:rsidR="005C4D1D" w:rsidRPr="0019585E">
        <w:t xml:space="preserve"> % oproti minulému </w:t>
      </w:r>
      <w:r w:rsidR="005C4D1D">
        <w:t>obdobiu</w:t>
      </w:r>
      <w:r w:rsidRPr="0019585E">
        <w:t xml:space="preserve">. Rehabilitačná starostlivosť je zabezpečovaná rehabilitačným pracoviskom, ktoré zrealizovalo </w:t>
      </w:r>
      <w:r w:rsidR="006C6587">
        <w:t>24</w:t>
      </w:r>
      <w:r w:rsidRPr="0019585E">
        <w:t>.</w:t>
      </w:r>
      <w:r w:rsidR="005C4D1D">
        <w:t>8</w:t>
      </w:r>
      <w:r w:rsidR="006C6587">
        <w:t>02</w:t>
      </w:r>
      <w:r w:rsidRPr="0019585E">
        <w:t xml:space="preserve"> vyšetrení</w:t>
      </w:r>
      <w:r w:rsidR="003E3E7E">
        <w:t xml:space="preserve">, </w:t>
      </w:r>
      <w:r w:rsidR="00B973DC">
        <w:t xml:space="preserve">čo predstavovalo </w:t>
      </w:r>
      <w:r w:rsidR="006C6587">
        <w:t>15</w:t>
      </w:r>
      <w:r w:rsidR="00B973DC">
        <w:t>.</w:t>
      </w:r>
      <w:r w:rsidR="006C6587">
        <w:t>393</w:t>
      </w:r>
      <w:r w:rsidR="00B973DC">
        <w:t>.</w:t>
      </w:r>
      <w:r w:rsidR="006C6587">
        <w:t>740</w:t>
      </w:r>
      <w:r w:rsidR="00B973DC">
        <w:t xml:space="preserve"> bodov a nárast </w:t>
      </w:r>
      <w:r w:rsidR="00B973DC" w:rsidRPr="0019585E">
        <w:t>o</w:t>
      </w:r>
      <w:r w:rsidR="00B973DC">
        <w:t> </w:t>
      </w:r>
      <w:r w:rsidR="006C6587">
        <w:t>7</w:t>
      </w:r>
      <w:r w:rsidR="00B973DC">
        <w:t>,</w:t>
      </w:r>
      <w:r w:rsidR="006C6587">
        <w:t>1</w:t>
      </w:r>
      <w:r w:rsidR="00B973DC" w:rsidRPr="0019585E">
        <w:t xml:space="preserve"> % oproti minulému </w:t>
      </w:r>
      <w:r w:rsidR="00B973DC">
        <w:t>obdobiu</w:t>
      </w:r>
      <w:r w:rsidRPr="009E6CB5">
        <w:t xml:space="preserve">. </w:t>
      </w:r>
    </w:p>
    <w:p w:rsidR="006906C7" w:rsidRDefault="0061236E" w:rsidP="006906C7">
      <w:pPr>
        <w:widowControl w:val="0"/>
        <w:autoSpaceDE w:val="0"/>
        <w:autoSpaceDN w:val="0"/>
        <w:adjustRightInd w:val="0"/>
        <w:jc w:val="both"/>
      </w:pPr>
      <w:r w:rsidRPr="009E6CB5">
        <w:lastRenderedPageBreak/>
        <w:tab/>
        <w:t>Súčasťou poskytovania zdravotnej starostlivosti je ošetrovateľská starostlivosť. Cieľom je poskytovať kvalitnú, efektívnu a bezpečnú ošetrovateľskú starostlivosť. Kvalita ošetrovateľskej starostlivosti je zabezpečovaná ošetrovateľskými štandardami a prostredníctvom interných auditov.</w:t>
      </w:r>
      <w:r w:rsidR="00ED5D08" w:rsidRPr="002E0380">
        <w:t xml:space="preserve"> </w:t>
      </w:r>
    </w:p>
    <w:p w:rsidR="006906C7" w:rsidRPr="002E0380" w:rsidRDefault="00975E81" w:rsidP="009D05E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  <w:highlight w:val="yellow"/>
        </w:rPr>
        <w:br w:type="page"/>
      </w:r>
      <w:r w:rsidR="006906C7" w:rsidRPr="00B05737">
        <w:rPr>
          <w:b/>
          <w:sz w:val="28"/>
          <w:szCs w:val="28"/>
        </w:rPr>
        <w:lastRenderedPageBreak/>
        <w:t>Investície</w:t>
      </w:r>
      <w:r w:rsidR="00994C89" w:rsidRPr="00B05737">
        <w:rPr>
          <w:b/>
          <w:sz w:val="28"/>
          <w:szCs w:val="28"/>
        </w:rPr>
        <w:t xml:space="preserve"> </w:t>
      </w:r>
      <w:r w:rsidR="00C1268A" w:rsidRPr="00B05737">
        <w:rPr>
          <w:b/>
          <w:sz w:val="28"/>
          <w:szCs w:val="28"/>
        </w:rPr>
        <w:t>k 3</w:t>
      </w:r>
      <w:r w:rsidR="00B05737">
        <w:rPr>
          <w:b/>
          <w:sz w:val="28"/>
          <w:szCs w:val="28"/>
        </w:rPr>
        <w:t>0</w:t>
      </w:r>
      <w:r w:rsidR="00C1268A" w:rsidRPr="00B05737">
        <w:rPr>
          <w:b/>
          <w:sz w:val="28"/>
          <w:szCs w:val="28"/>
        </w:rPr>
        <w:t>.</w:t>
      </w:r>
      <w:r w:rsidR="002D3B52" w:rsidRPr="00B05737">
        <w:rPr>
          <w:b/>
          <w:sz w:val="28"/>
          <w:szCs w:val="28"/>
        </w:rPr>
        <w:t>0</w:t>
      </w:r>
      <w:r w:rsidR="00B05737">
        <w:rPr>
          <w:b/>
          <w:sz w:val="28"/>
          <w:szCs w:val="28"/>
        </w:rPr>
        <w:t>6</w:t>
      </w:r>
      <w:r w:rsidR="00C1268A" w:rsidRPr="00B05737">
        <w:rPr>
          <w:b/>
          <w:sz w:val="28"/>
          <w:szCs w:val="28"/>
        </w:rPr>
        <w:t>.</w:t>
      </w:r>
      <w:r w:rsidR="00994C89" w:rsidRPr="00B05737">
        <w:rPr>
          <w:b/>
          <w:sz w:val="28"/>
          <w:szCs w:val="28"/>
        </w:rPr>
        <w:t>20</w:t>
      </w:r>
      <w:r w:rsidR="00244E21" w:rsidRPr="00B05737">
        <w:rPr>
          <w:b/>
          <w:sz w:val="28"/>
          <w:szCs w:val="28"/>
        </w:rPr>
        <w:t>1</w:t>
      </w:r>
      <w:r w:rsidR="002D3B52" w:rsidRPr="00B05737">
        <w:rPr>
          <w:b/>
          <w:sz w:val="28"/>
          <w:szCs w:val="28"/>
        </w:rPr>
        <w:t>8</w:t>
      </w:r>
    </w:p>
    <w:p w:rsidR="001A4616" w:rsidRDefault="004030D2" w:rsidP="006906C7">
      <w:pPr>
        <w:widowControl w:val="0"/>
        <w:autoSpaceDE w:val="0"/>
        <w:autoSpaceDN w:val="0"/>
        <w:adjustRightInd w:val="0"/>
        <w:jc w:val="both"/>
      </w:pPr>
      <w:r w:rsidRPr="002E0380">
        <w:tab/>
      </w:r>
      <w:r w:rsidR="003C1FAF">
        <w:t>Niž</w:t>
      </w:r>
      <w:r w:rsidR="001A4616" w:rsidRPr="002E0380">
        <w:t>šie uvedené investície boli</w:t>
      </w:r>
      <w:r w:rsidR="00EC3ED5">
        <w:t>, respektíve budú</w:t>
      </w:r>
      <w:r w:rsidR="001A4616" w:rsidRPr="002E0380">
        <w:t xml:space="preserve"> realizované z</w:t>
      </w:r>
      <w:r w:rsidR="002A639B">
        <w:t> vlastných zdrojov</w:t>
      </w:r>
      <w:r w:rsidR="001A4616" w:rsidRPr="002E0380">
        <w:t xml:space="preserve"> ĽN, n.o.. </w:t>
      </w:r>
      <w:r w:rsidR="008457FF" w:rsidRPr="002E0380">
        <w:t>Nákup bol realizovaný v zmysle zákona</w:t>
      </w:r>
      <w:r w:rsidRPr="002E0380">
        <w:t xml:space="preserve"> </w:t>
      </w:r>
      <w:r w:rsidR="008457FF" w:rsidRPr="002E0380">
        <w:t>o verejnom obstarávaní</w:t>
      </w:r>
      <w:r w:rsidR="008C1C95" w:rsidRPr="002E0380">
        <w:t>.</w:t>
      </w:r>
    </w:p>
    <w:p w:rsidR="006906C7" w:rsidRPr="0068135A" w:rsidRDefault="0068135A" w:rsidP="00603B4C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68135A">
        <w:rPr>
          <w:b/>
          <w:i/>
        </w:rPr>
        <w:t>Investície - pre rok 20</w:t>
      </w:r>
      <w:r w:rsidR="00422634">
        <w:rPr>
          <w:b/>
          <w:i/>
        </w:rPr>
        <w:t>1</w:t>
      </w:r>
      <w:r w:rsidR="002D3B52">
        <w:rPr>
          <w:b/>
          <w:i/>
        </w:rPr>
        <w:t>8</w:t>
      </w:r>
      <w:r w:rsidRPr="0068135A">
        <w:rPr>
          <w:b/>
          <w:i/>
        </w:rPr>
        <w:t xml:space="preserve"> – stav:</w:t>
      </w:r>
    </w:p>
    <w:p w:rsidR="00B91452" w:rsidRDefault="00B91452" w:rsidP="00B91452">
      <w:pPr>
        <w:widowControl w:val="0"/>
        <w:autoSpaceDE w:val="0"/>
        <w:autoSpaceDN w:val="0"/>
        <w:adjustRightInd w:val="0"/>
        <w:rPr>
          <w:bCs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9"/>
        <w:gridCol w:w="1670"/>
        <w:gridCol w:w="1576"/>
        <w:gridCol w:w="1550"/>
      </w:tblGrid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3B52" w:rsidRDefault="002D3B52" w:rsidP="00F374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Predmet 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B52" w:rsidRDefault="002D3B52" w:rsidP="00F374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Oddelenie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Plánovaná cena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B52" w:rsidRDefault="002D3B52" w:rsidP="00F37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po VO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Medicínska vŕtačka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Chir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odd.</w:t>
            </w: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22 000 €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17 998 €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Optika +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svetlovodný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kábel + sterilizačná kazeta - 2 ks</w:t>
            </w:r>
          </w:p>
        </w:tc>
        <w:tc>
          <w:tcPr>
            <w:tcW w:w="906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Chir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odd.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7 000 €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6 783 €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Optika +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svetlovodný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kábel + sterilizačná kazeta - 2 ks</w:t>
            </w:r>
          </w:p>
        </w:tc>
        <w:tc>
          <w:tcPr>
            <w:tcW w:w="906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7 000 €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6 985 €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Operačný laser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varixy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hemeroidy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sinus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pilonidalis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06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Chir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odd.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1 800 €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B52" w:rsidTr="006A0CCF">
        <w:trPr>
          <w:trHeight w:val="528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Uterinný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manipulátor 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realizáviu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laparoskopických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hysterektómií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Keckstein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manipulator</w:t>
            </w:r>
            <w:proofErr w:type="spellEnd"/>
          </w:p>
        </w:tc>
        <w:tc>
          <w:tcPr>
            <w:tcW w:w="906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6 500 €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6 101 €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CTG monitor - 3ks</w:t>
            </w:r>
          </w:p>
        </w:tc>
        <w:tc>
          <w:tcPr>
            <w:tcW w:w="906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10 381 €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6 750 €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CTG monitor s dvoma sondami - 1ks</w:t>
            </w:r>
          </w:p>
        </w:tc>
        <w:tc>
          <w:tcPr>
            <w:tcW w:w="906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4 139 €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2 565 €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Monitory vitálnych funkcií na pooperačné izby - 3 ks </w:t>
            </w:r>
          </w:p>
        </w:tc>
        <w:tc>
          <w:tcPr>
            <w:tcW w:w="906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pôrodnícke odd.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14 568 €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6A0CCF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Polohovacie lôžko - 2</w:t>
            </w:r>
            <w:r w:rsidR="002D3B52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  <w:tc>
          <w:tcPr>
            <w:tcW w:w="906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Urgentný príjem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8 000 €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6 259 €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6A0CCF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 vitálnych funkcií - 2</w:t>
            </w:r>
            <w:r w:rsidR="002D3B52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  <w:tc>
          <w:tcPr>
            <w:tcW w:w="906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Urgentný príjem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6 000 €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6 042 €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6A0C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Lineárny dávkovač - </w:t>
            </w:r>
            <w:r w:rsidR="006A0CCF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  <w:tc>
          <w:tcPr>
            <w:tcW w:w="906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Urgentný príjem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4 200 €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6 330 €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6A0C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Objemový dávkovač  - </w:t>
            </w:r>
            <w:r w:rsidR="006A0CCF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  <w:tc>
          <w:tcPr>
            <w:tcW w:w="906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Urgentný príjem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4 200 €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5 040 €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EKG 12 zvodové - 1 ks</w:t>
            </w:r>
          </w:p>
        </w:tc>
        <w:tc>
          <w:tcPr>
            <w:tcW w:w="906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Urgentný príjem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2 900 €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1 434 €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Mikroskop - 2 ks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OKBHaT</w:t>
            </w:r>
            <w:proofErr w:type="spellEnd"/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9 000 €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6A0CCF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4 700 €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EKG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holtre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- 2 ks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Interná ambulancia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6 000 €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2 775 €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Tlakové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holtre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- 3 ks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Interná ambulancia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3 400 €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3 164 €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Modernizácia centrálnej sterilizácie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Centrálna sterilizácia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6A0C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A0CCF">
              <w:rPr>
                <w:rFonts w:ascii="Arial" w:hAnsi="Arial" w:cs="Arial"/>
                <w:sz w:val="20"/>
                <w:szCs w:val="20"/>
              </w:rPr>
              <w:t>99</w:t>
            </w:r>
            <w:r>
              <w:rPr>
                <w:rFonts w:ascii="Arial" w:hAnsi="Arial" w:cs="Arial"/>
                <w:sz w:val="20"/>
                <w:szCs w:val="20"/>
              </w:rPr>
              <w:t xml:space="preserve"> 000 €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0CCF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6A0CCF" w:rsidRDefault="006A0CCF" w:rsidP="003A0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Projektová dokumentácia + stavebné úpravy CS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CCF" w:rsidRDefault="006A0CCF" w:rsidP="003A06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Centrálna sterilizácia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CCF" w:rsidRDefault="006A0CCF" w:rsidP="003A06E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20 000 €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6A0CCF" w:rsidRDefault="006A0CCF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Sanitné vozidlo - 3 ks (leasing) 20 % akontácia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Dopravná služba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24 600 €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6A0CCF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26 265 €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Felxibilný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intubačný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fibrobronchoskop</w:t>
            </w:r>
            <w:proofErr w:type="spellEnd"/>
          </w:p>
        </w:tc>
        <w:tc>
          <w:tcPr>
            <w:tcW w:w="9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OAIM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9 470 €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8 600 €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Ohrev rašeliny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FBLR</w:t>
            </w: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2 000 €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2D3B52" w:rsidRDefault="006A0CCF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2 169 €</w:t>
            </w: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Diagnostický audiometer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ORL</w:t>
            </w: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5 000 €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0CC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60CC" w:rsidRDefault="004860CC" w:rsidP="003A0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Diagnostická pracovná stanica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0CC" w:rsidRDefault="004860CC" w:rsidP="003A06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RDG</w:t>
            </w: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0CC" w:rsidRDefault="004860CC" w:rsidP="003A06E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12 000 €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4860CC" w:rsidRDefault="004860CC" w:rsidP="003A06E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14 650 €</w:t>
            </w:r>
          </w:p>
        </w:tc>
      </w:tr>
      <w:tr w:rsidR="004860CC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60CC" w:rsidRPr="004860CC" w:rsidRDefault="004860CC" w:rsidP="004860CC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860CC">
              <w:rPr>
                <w:rFonts w:ascii="Arial" w:hAnsi="Arial" w:cs="Arial"/>
                <w:b/>
                <w:i/>
                <w:sz w:val="20"/>
                <w:szCs w:val="20"/>
              </w:rPr>
              <w:t>Medzisúčet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0CC" w:rsidRPr="004860CC" w:rsidRDefault="004860CC" w:rsidP="003A06E5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0CC" w:rsidRPr="004860CC" w:rsidRDefault="004860CC" w:rsidP="004860CC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389 158</w:t>
            </w:r>
            <w:r w:rsidRPr="004860C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€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4860CC" w:rsidRPr="004860CC" w:rsidRDefault="004860CC" w:rsidP="003A06E5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860C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134 610 €</w:t>
            </w:r>
          </w:p>
        </w:tc>
      </w:tr>
      <w:tr w:rsidR="004860CC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60CC" w:rsidRDefault="004860CC" w:rsidP="003A0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0CC" w:rsidRDefault="004860CC" w:rsidP="003A06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0CC" w:rsidRDefault="004860CC" w:rsidP="003A06E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4860CC" w:rsidRDefault="004860CC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3F9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3F9" w:rsidRDefault="00F463F9" w:rsidP="003A0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Projektová dokumentácia - PA zateplenie, strecha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3F9" w:rsidRDefault="00F463F9" w:rsidP="003A06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3F9" w:rsidRDefault="00F463F9" w:rsidP="003A06E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7 560 €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F463F9" w:rsidRDefault="00F463F9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3F9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3F9" w:rsidRDefault="00F463F9" w:rsidP="003A0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 zateplenie, strecha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3A06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F463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500 000 €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F463F9" w:rsidRDefault="00F463F9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3F9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3F9" w:rsidRDefault="00F463F9" w:rsidP="003A0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Projektová dokumentácia - výťah poliklinika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3A06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3A06E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3 000 €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F463F9" w:rsidRDefault="00F463F9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3F9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3F9" w:rsidRDefault="00F463F9" w:rsidP="003A0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Výťah poliklinika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3A06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F463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100 000 €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F463F9" w:rsidRDefault="00F463F9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3F9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3F9" w:rsidRDefault="00F463F9" w:rsidP="003A0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Dobudovanie kapacít a modernizácia infraštruktúry ĽN, n.o. - NFP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3A06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F463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4 399 108 €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F463F9" w:rsidRDefault="00F463F9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3F9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3F9" w:rsidRDefault="00F463F9" w:rsidP="003A0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Dobudovanie kapacít a modernizácia infraštruktúry ĽN, n.o. - Spolufinancovanie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3A06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F463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231 532 €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F463F9" w:rsidRDefault="00F463F9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3F9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3F9" w:rsidRDefault="00F463F9" w:rsidP="003A0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Dobudovanie kapacít a modernizácia infraštruktúry ĽN, n.o. - Neoprávnené výdavky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3A06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F463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72 583 €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F463F9" w:rsidRDefault="00F463F9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3F9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3F9" w:rsidRPr="00F463F9" w:rsidRDefault="00F463F9" w:rsidP="003A06E5">
            <w:pPr>
              <w:rPr>
                <w:rFonts w:ascii="Arial" w:hAnsi="Arial" w:cs="Arial"/>
                <w:sz w:val="20"/>
                <w:szCs w:val="20"/>
              </w:rPr>
            </w:pPr>
            <w:r w:rsidRPr="00F463F9">
              <w:rPr>
                <w:rFonts w:ascii="Arial" w:hAnsi="Arial" w:cs="Arial"/>
                <w:sz w:val="20"/>
                <w:szCs w:val="20"/>
              </w:rPr>
              <w:t>Dobudovanie kapacít a modernizácia infraštruktúry ĽN, n.o. - Dodatočné stavebné práce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3A06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F463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160 000 €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F463F9" w:rsidRDefault="00F463F9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3F9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3F9" w:rsidRDefault="00F463F9" w:rsidP="003A0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Dobudovanie kapacít a modernizácia infraštruktúry ĽN, n.o. - Prístrojové vybavenie a zariadenie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3A06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F463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1 267 284 €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F463F9" w:rsidRDefault="00F463F9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3F9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3F9" w:rsidRDefault="00F463F9" w:rsidP="00F374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F374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F374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F463F9" w:rsidRDefault="00F463F9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3F9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3F9" w:rsidRDefault="00F463F9" w:rsidP="00F374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F374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3F9" w:rsidRDefault="00F463F9" w:rsidP="00F374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F463F9" w:rsidRDefault="00F463F9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ELEKTROFORÉZA</w:t>
            </w:r>
          </w:p>
        </w:tc>
        <w:tc>
          <w:tcPr>
            <w:tcW w:w="9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OKBHaT</w:t>
            </w:r>
            <w:proofErr w:type="spellEnd"/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Močový analyzátor</w:t>
            </w:r>
          </w:p>
        </w:tc>
        <w:tc>
          <w:tcPr>
            <w:tcW w:w="906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OKBHaT</w:t>
            </w:r>
            <w:proofErr w:type="spellEnd"/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B52" w:rsidTr="006A0CCF">
        <w:trPr>
          <w:trHeight w:val="264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Koagulometer</w:t>
            </w:r>
            <w:proofErr w:type="spellEnd"/>
          </w:p>
        </w:tc>
        <w:tc>
          <w:tcPr>
            <w:tcW w:w="906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OKBHaT</w:t>
            </w:r>
            <w:proofErr w:type="spellEnd"/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B52" w:rsidTr="006A0CCF">
        <w:trPr>
          <w:trHeight w:val="276"/>
        </w:trPr>
        <w:tc>
          <w:tcPr>
            <w:tcW w:w="239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1" w:type="pct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</w:tcPr>
          <w:p w:rsidR="002D3B52" w:rsidRDefault="002D3B52" w:rsidP="002D3B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B52" w:rsidTr="006A0CCF">
        <w:trPr>
          <w:trHeight w:val="276"/>
        </w:trPr>
        <w:tc>
          <w:tcPr>
            <w:tcW w:w="239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906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2D3B52" w:rsidP="00F374F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B52" w:rsidRDefault="004860CC" w:rsidP="004860C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7 130</w:t>
            </w:r>
            <w:r w:rsidR="002D3B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225</w:t>
            </w:r>
            <w:r w:rsidR="002D3B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841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2D3B52" w:rsidRDefault="004860CC" w:rsidP="004860C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134</w:t>
            </w:r>
            <w:r w:rsidR="002D3B5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610</w:t>
            </w:r>
            <w:r w:rsidR="002D3B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€</w:t>
            </w:r>
          </w:p>
        </w:tc>
      </w:tr>
    </w:tbl>
    <w:p w:rsidR="00D913E8" w:rsidRDefault="00D913E8" w:rsidP="00422634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D913E8" w:rsidRDefault="00D913E8" w:rsidP="00422634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D061D3" w:rsidRPr="00502E6B" w:rsidRDefault="00D061D3" w:rsidP="0062180D">
      <w:pPr>
        <w:widowControl w:val="0"/>
        <w:autoSpaceDE w:val="0"/>
        <w:autoSpaceDN w:val="0"/>
        <w:adjustRightInd w:val="0"/>
        <w:rPr>
          <w:b/>
          <w:bCs/>
        </w:rPr>
      </w:pPr>
    </w:p>
    <w:p w:rsidR="00D061D3" w:rsidRPr="00D061D3" w:rsidRDefault="00D204D0" w:rsidP="00D061D3">
      <w:pPr>
        <w:widowControl w:val="0"/>
        <w:autoSpaceDE w:val="0"/>
        <w:autoSpaceDN w:val="0"/>
        <w:adjustRightInd w:val="0"/>
        <w:rPr>
          <w:bCs/>
        </w:rPr>
      </w:pPr>
      <w:r w:rsidRPr="00502E6B">
        <w:rPr>
          <w:bCs/>
        </w:rPr>
        <w:t>Disponibilný c</w:t>
      </w:r>
      <w:r w:rsidR="00D061D3" w:rsidRPr="00502E6B">
        <w:rPr>
          <w:bCs/>
        </w:rPr>
        <w:t>ash–</w:t>
      </w:r>
      <w:proofErr w:type="spellStart"/>
      <w:r w:rsidR="00D061D3" w:rsidRPr="00502E6B">
        <w:rPr>
          <w:bCs/>
        </w:rPr>
        <w:t>flow</w:t>
      </w:r>
      <w:proofErr w:type="spellEnd"/>
      <w:r w:rsidR="00D061D3" w:rsidRPr="00502E6B">
        <w:rPr>
          <w:bCs/>
        </w:rPr>
        <w:t xml:space="preserve"> </w:t>
      </w:r>
      <w:r w:rsidR="003B1688">
        <w:rPr>
          <w:bCs/>
        </w:rPr>
        <w:t xml:space="preserve">pre investície a rozvoj </w:t>
      </w:r>
      <w:r w:rsidRPr="00502E6B">
        <w:rPr>
          <w:bCs/>
        </w:rPr>
        <w:t>k 3</w:t>
      </w:r>
      <w:r w:rsidR="008931F1">
        <w:rPr>
          <w:bCs/>
        </w:rPr>
        <w:t>0</w:t>
      </w:r>
      <w:r w:rsidRPr="00502E6B">
        <w:rPr>
          <w:bCs/>
        </w:rPr>
        <w:t>.</w:t>
      </w:r>
      <w:r w:rsidR="002D3B52">
        <w:rPr>
          <w:bCs/>
        </w:rPr>
        <w:t>0</w:t>
      </w:r>
      <w:r w:rsidR="008931F1">
        <w:rPr>
          <w:bCs/>
        </w:rPr>
        <w:t>6</w:t>
      </w:r>
      <w:r w:rsidRPr="00502E6B">
        <w:rPr>
          <w:bCs/>
        </w:rPr>
        <w:t>.201</w:t>
      </w:r>
      <w:r w:rsidR="002D3B52">
        <w:rPr>
          <w:bCs/>
        </w:rPr>
        <w:t>8</w:t>
      </w:r>
      <w:r w:rsidR="001C0343" w:rsidRPr="00502E6B">
        <w:rPr>
          <w:bCs/>
        </w:rPr>
        <w:tab/>
      </w:r>
      <w:r w:rsidR="006B1BC0">
        <w:rPr>
          <w:bCs/>
        </w:rPr>
        <w:t>1.</w:t>
      </w:r>
      <w:r w:rsidR="008931F1">
        <w:rPr>
          <w:bCs/>
        </w:rPr>
        <w:t>605</w:t>
      </w:r>
      <w:r w:rsidR="00D061D3" w:rsidRPr="00502E6B">
        <w:rPr>
          <w:bCs/>
        </w:rPr>
        <w:t>.</w:t>
      </w:r>
      <w:r w:rsidR="008931F1">
        <w:rPr>
          <w:bCs/>
        </w:rPr>
        <w:t>922</w:t>
      </w:r>
      <w:r w:rsidR="00D061D3" w:rsidRPr="00502E6B">
        <w:rPr>
          <w:bCs/>
        </w:rPr>
        <w:t>,- €</w:t>
      </w:r>
    </w:p>
    <w:p w:rsidR="00342E13" w:rsidRDefault="00342E13">
      <w:pPr>
        <w:rPr>
          <w:b/>
          <w:bCs/>
        </w:rPr>
      </w:pPr>
      <w:r>
        <w:rPr>
          <w:b/>
          <w:bCs/>
        </w:rPr>
        <w:br w:type="page"/>
      </w:r>
    </w:p>
    <w:p w:rsidR="00342E13" w:rsidRPr="00342E13" w:rsidRDefault="00342E13" w:rsidP="00342E13">
      <w:pPr>
        <w:widowControl w:val="0"/>
        <w:autoSpaceDE w:val="0"/>
        <w:autoSpaceDN w:val="0"/>
        <w:adjustRightInd w:val="0"/>
        <w:rPr>
          <w:b/>
          <w:bCs/>
        </w:rPr>
      </w:pPr>
      <w:r w:rsidRPr="00736B4A">
        <w:rPr>
          <w:b/>
          <w:bCs/>
        </w:rPr>
        <w:lastRenderedPageBreak/>
        <w:t>Zjednodušená finančná bilancia k 3</w:t>
      </w:r>
      <w:r w:rsidR="00041FAB" w:rsidRPr="00736B4A">
        <w:rPr>
          <w:b/>
          <w:bCs/>
        </w:rPr>
        <w:t>0</w:t>
      </w:r>
      <w:r w:rsidR="001F41E9" w:rsidRPr="00736B4A">
        <w:rPr>
          <w:b/>
          <w:bCs/>
        </w:rPr>
        <w:t>.</w:t>
      </w:r>
      <w:r w:rsidR="00041FAB" w:rsidRPr="00736B4A">
        <w:rPr>
          <w:b/>
          <w:bCs/>
        </w:rPr>
        <w:t>06</w:t>
      </w:r>
      <w:r w:rsidRPr="00736B4A">
        <w:rPr>
          <w:b/>
          <w:bCs/>
        </w:rPr>
        <w:t>.201</w:t>
      </w:r>
      <w:r w:rsidR="00B167FB" w:rsidRPr="00736B4A">
        <w:rPr>
          <w:b/>
          <w:bCs/>
        </w:rPr>
        <w:t>8</w:t>
      </w:r>
      <w:r w:rsidRPr="00342E13">
        <w:rPr>
          <w:b/>
          <w:bCs/>
        </w:rPr>
        <w:t>:</w:t>
      </w:r>
    </w:p>
    <w:p w:rsid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Pr="001F41E9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 xml:space="preserve">Aktíva (majetok) </w:t>
      </w:r>
      <w:r w:rsidRPr="00342E13">
        <w:rPr>
          <w:bCs/>
        </w:rPr>
        <w:tab/>
        <w:t xml:space="preserve">    </w:t>
      </w:r>
      <w:r w:rsidRPr="00342E13">
        <w:rPr>
          <w:bCs/>
        </w:rPr>
        <w:tab/>
      </w:r>
      <w:r w:rsidR="001F41E9">
        <w:rPr>
          <w:bCs/>
        </w:rPr>
        <w:t>7.</w:t>
      </w:r>
      <w:r w:rsidR="00C178C3">
        <w:rPr>
          <w:bCs/>
        </w:rPr>
        <w:t>756</w:t>
      </w:r>
      <w:r w:rsidR="001F41E9">
        <w:rPr>
          <w:bCs/>
        </w:rPr>
        <w:t>.</w:t>
      </w:r>
      <w:r w:rsidR="00C178C3">
        <w:rPr>
          <w:bCs/>
        </w:rPr>
        <w:t>393</w:t>
      </w:r>
      <w:r w:rsidRPr="001F41E9">
        <w:rPr>
          <w:bCs/>
        </w:rPr>
        <w:t xml:space="preserve"> €</w:t>
      </w:r>
    </w:p>
    <w:p w:rsidR="00342E13" w:rsidRP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>Celkový obrat</w:t>
      </w:r>
      <w:r w:rsidR="00C178C3">
        <w:rPr>
          <w:bCs/>
        </w:rPr>
        <w:tab/>
      </w:r>
      <w:r w:rsidR="00C178C3">
        <w:rPr>
          <w:bCs/>
        </w:rPr>
        <w:tab/>
      </w:r>
      <w:r w:rsidR="00C178C3">
        <w:rPr>
          <w:bCs/>
        </w:rPr>
        <w:tab/>
        <w:t>6</w:t>
      </w:r>
      <w:r w:rsidRPr="00342E13">
        <w:rPr>
          <w:bCs/>
        </w:rPr>
        <w:t>.</w:t>
      </w:r>
      <w:r w:rsidR="00C178C3">
        <w:rPr>
          <w:bCs/>
        </w:rPr>
        <w:t>929</w:t>
      </w:r>
      <w:r w:rsidRPr="00342E13">
        <w:rPr>
          <w:bCs/>
        </w:rPr>
        <w:t>.</w:t>
      </w:r>
      <w:r w:rsidR="00C178C3">
        <w:rPr>
          <w:bCs/>
        </w:rPr>
        <w:t>668</w:t>
      </w:r>
      <w:r w:rsidRPr="00342E13">
        <w:rPr>
          <w:bCs/>
        </w:rPr>
        <w:t xml:space="preserve"> €</w:t>
      </w:r>
    </w:p>
    <w:p w:rsid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P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 xml:space="preserve">Celkové záväzky: </w:t>
      </w:r>
      <w:r w:rsidRPr="00342E13">
        <w:rPr>
          <w:bCs/>
        </w:rPr>
        <w:tab/>
      </w:r>
      <w:r w:rsidRPr="00342E13">
        <w:rPr>
          <w:bCs/>
        </w:rPr>
        <w:tab/>
      </w:r>
      <w:r w:rsidR="00663839">
        <w:rPr>
          <w:bCs/>
        </w:rPr>
        <w:t>1</w:t>
      </w:r>
      <w:r w:rsidRPr="00342E13">
        <w:rPr>
          <w:bCs/>
        </w:rPr>
        <w:t>.</w:t>
      </w:r>
      <w:r w:rsidR="00663839">
        <w:rPr>
          <w:bCs/>
        </w:rPr>
        <w:t>9</w:t>
      </w:r>
      <w:r w:rsidR="000C514E">
        <w:rPr>
          <w:bCs/>
        </w:rPr>
        <w:t>35</w:t>
      </w:r>
      <w:r w:rsidRPr="00342E13">
        <w:rPr>
          <w:bCs/>
        </w:rPr>
        <w:t>.</w:t>
      </w:r>
      <w:r w:rsidR="000C514E">
        <w:rPr>
          <w:bCs/>
        </w:rPr>
        <w:t>662</w:t>
      </w:r>
      <w:r w:rsidRPr="00342E13">
        <w:rPr>
          <w:bCs/>
        </w:rPr>
        <w:t xml:space="preserve"> €</w:t>
      </w:r>
    </w:p>
    <w:p w:rsidR="00342E13" w:rsidRP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ab/>
      </w:r>
      <w:r>
        <w:rPr>
          <w:bCs/>
        </w:rPr>
        <w:tab/>
      </w:r>
      <w:r w:rsidRPr="00342E13">
        <w:rPr>
          <w:bCs/>
        </w:rPr>
        <w:t xml:space="preserve">z toho: </w:t>
      </w:r>
      <w:r w:rsidRPr="00342E13">
        <w:rPr>
          <w:bCs/>
        </w:rPr>
        <w:tab/>
        <w:t>záväzok RO MZ SR:</w:t>
      </w:r>
      <w:r w:rsidRPr="00342E13">
        <w:rPr>
          <w:bCs/>
        </w:rPr>
        <w:tab/>
        <w:t xml:space="preserve">   </w:t>
      </w:r>
      <w:r>
        <w:rPr>
          <w:bCs/>
        </w:rPr>
        <w:tab/>
      </w:r>
      <w:r w:rsidR="00663839">
        <w:rPr>
          <w:bCs/>
        </w:rPr>
        <w:t xml:space="preserve">  </w:t>
      </w:r>
      <w:r w:rsidR="000C514E">
        <w:rPr>
          <w:bCs/>
        </w:rPr>
        <w:t>61</w:t>
      </w:r>
      <w:r w:rsidRPr="00342E13">
        <w:rPr>
          <w:bCs/>
        </w:rPr>
        <w:t>.</w:t>
      </w:r>
      <w:r w:rsidR="000C514E">
        <w:rPr>
          <w:bCs/>
        </w:rPr>
        <w:t>841</w:t>
      </w:r>
      <w:r w:rsidRPr="00342E13">
        <w:rPr>
          <w:bCs/>
        </w:rPr>
        <w:t xml:space="preserve"> €</w:t>
      </w:r>
    </w:p>
    <w:p w:rsidR="00342E13" w:rsidRP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ab/>
      </w:r>
      <w:r w:rsidRPr="00342E13">
        <w:rPr>
          <w:bCs/>
        </w:rPr>
        <w:tab/>
      </w:r>
      <w:r w:rsidR="00DD7563">
        <w:rPr>
          <w:bCs/>
        </w:rPr>
        <w:tab/>
      </w:r>
      <w:r w:rsidRPr="00342E13">
        <w:rPr>
          <w:bCs/>
        </w:rPr>
        <w:t>úver VÚB, a.s.:</w:t>
      </w:r>
      <w:r w:rsidRPr="00342E13">
        <w:rPr>
          <w:bCs/>
        </w:rPr>
        <w:tab/>
        <w:t xml:space="preserve">   </w:t>
      </w:r>
      <w:r>
        <w:rPr>
          <w:bCs/>
        </w:rPr>
        <w:tab/>
      </w:r>
      <w:r w:rsidR="00663839">
        <w:rPr>
          <w:bCs/>
        </w:rPr>
        <w:t>3</w:t>
      </w:r>
      <w:r w:rsidR="000C514E">
        <w:rPr>
          <w:bCs/>
        </w:rPr>
        <w:t>77</w:t>
      </w:r>
      <w:r w:rsidRPr="00342E13">
        <w:rPr>
          <w:bCs/>
        </w:rPr>
        <w:t>.</w:t>
      </w:r>
      <w:r w:rsidR="000C514E">
        <w:rPr>
          <w:bCs/>
        </w:rPr>
        <w:t>908</w:t>
      </w:r>
      <w:r w:rsidRPr="00342E13">
        <w:rPr>
          <w:bCs/>
        </w:rPr>
        <w:t xml:space="preserve"> €</w:t>
      </w:r>
    </w:p>
    <w:p w:rsid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P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 xml:space="preserve">Celkové pohľadávky: </w:t>
      </w:r>
      <w:r w:rsidRPr="00342E13">
        <w:rPr>
          <w:bCs/>
        </w:rPr>
        <w:tab/>
      </w:r>
      <w:r w:rsidRPr="00342E13">
        <w:rPr>
          <w:bCs/>
        </w:rPr>
        <w:tab/>
      </w:r>
      <w:r w:rsidR="00573080">
        <w:rPr>
          <w:bCs/>
        </w:rPr>
        <w:t>1</w:t>
      </w:r>
      <w:r w:rsidRPr="00342E13">
        <w:rPr>
          <w:bCs/>
        </w:rPr>
        <w:t>.</w:t>
      </w:r>
      <w:r w:rsidR="000C514E">
        <w:rPr>
          <w:bCs/>
        </w:rPr>
        <w:t>218</w:t>
      </w:r>
      <w:r w:rsidRPr="00342E13">
        <w:rPr>
          <w:bCs/>
        </w:rPr>
        <w:t>.</w:t>
      </w:r>
      <w:r w:rsidR="000C514E">
        <w:rPr>
          <w:bCs/>
        </w:rPr>
        <w:t>982</w:t>
      </w:r>
      <w:r w:rsidRPr="00342E13">
        <w:rPr>
          <w:bCs/>
        </w:rPr>
        <w:t xml:space="preserve"> €</w:t>
      </w:r>
    </w:p>
    <w:p w:rsidR="00EE19B1" w:rsidRDefault="00EE19B1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Pr="00342E13" w:rsidRDefault="0007377E" w:rsidP="00342E13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Zásoby: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</w:t>
      </w:r>
      <w:r w:rsidR="00663839">
        <w:rPr>
          <w:bCs/>
        </w:rPr>
        <w:t>20</w:t>
      </w:r>
      <w:r w:rsidR="000C514E">
        <w:rPr>
          <w:bCs/>
        </w:rPr>
        <w:t>7</w:t>
      </w:r>
      <w:r w:rsidR="00342E13" w:rsidRPr="00342E13">
        <w:rPr>
          <w:bCs/>
        </w:rPr>
        <w:t>.</w:t>
      </w:r>
      <w:r w:rsidR="000C514E">
        <w:rPr>
          <w:bCs/>
        </w:rPr>
        <w:t>048</w:t>
      </w:r>
      <w:r w:rsidR="00342E13" w:rsidRPr="00342E13">
        <w:rPr>
          <w:bCs/>
        </w:rPr>
        <w:t xml:space="preserve"> €</w:t>
      </w:r>
    </w:p>
    <w:p w:rsidR="00EE19B1" w:rsidRDefault="00EE19B1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P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 xml:space="preserve">Stav </w:t>
      </w:r>
      <w:r w:rsidR="0007377E">
        <w:rPr>
          <w:bCs/>
        </w:rPr>
        <w:t>finančných účtov:</w:t>
      </w:r>
      <w:r w:rsidR="0007377E">
        <w:rPr>
          <w:bCs/>
        </w:rPr>
        <w:tab/>
      </w:r>
      <w:r w:rsidR="00663839">
        <w:rPr>
          <w:bCs/>
        </w:rPr>
        <w:t>2</w:t>
      </w:r>
      <w:r w:rsidR="0007377E">
        <w:rPr>
          <w:bCs/>
        </w:rPr>
        <w:t>.</w:t>
      </w:r>
      <w:r w:rsidR="000C514E">
        <w:rPr>
          <w:bCs/>
        </w:rPr>
        <w:t>604</w:t>
      </w:r>
      <w:r w:rsidR="0007377E">
        <w:rPr>
          <w:bCs/>
        </w:rPr>
        <w:t>.</w:t>
      </w:r>
      <w:r w:rsidR="000C514E">
        <w:rPr>
          <w:bCs/>
        </w:rPr>
        <w:t>504</w:t>
      </w:r>
      <w:r w:rsidRPr="00342E13">
        <w:rPr>
          <w:bCs/>
        </w:rPr>
        <w:t xml:space="preserve"> €</w:t>
      </w:r>
    </w:p>
    <w:p w:rsid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ab/>
      </w:r>
      <w:r w:rsidRPr="00342E13">
        <w:rPr>
          <w:bCs/>
        </w:rPr>
        <w:tab/>
      </w:r>
    </w:p>
    <w:p w:rsid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P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>Rozdiel (poh</w:t>
      </w:r>
      <w:r w:rsidR="006A4777">
        <w:rPr>
          <w:bCs/>
        </w:rPr>
        <w:t>ľadávky, BU – záväzky)</w:t>
      </w:r>
      <w:r w:rsidR="006A4777">
        <w:rPr>
          <w:bCs/>
        </w:rPr>
        <w:tab/>
      </w:r>
      <w:r w:rsidR="006A4777">
        <w:rPr>
          <w:bCs/>
        </w:rPr>
        <w:tab/>
      </w:r>
      <w:r w:rsidR="006A4777">
        <w:rPr>
          <w:bCs/>
        </w:rPr>
        <w:tab/>
        <w:t>1.</w:t>
      </w:r>
      <w:r w:rsidR="00736B4A">
        <w:rPr>
          <w:bCs/>
        </w:rPr>
        <w:t>887</w:t>
      </w:r>
      <w:r w:rsidRPr="00342E13">
        <w:rPr>
          <w:bCs/>
        </w:rPr>
        <w:t>.</w:t>
      </w:r>
      <w:r w:rsidR="005F20D9">
        <w:rPr>
          <w:bCs/>
        </w:rPr>
        <w:t>8</w:t>
      </w:r>
      <w:r w:rsidR="00736B4A">
        <w:rPr>
          <w:bCs/>
        </w:rPr>
        <w:t>24</w:t>
      </w:r>
      <w:r w:rsidRPr="00342E13">
        <w:rPr>
          <w:bCs/>
        </w:rPr>
        <w:t xml:space="preserve"> €</w:t>
      </w:r>
    </w:p>
    <w:p w:rsidR="00D061D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>Rozdiel (pohľadávky, zásoby, BU -</w:t>
      </w:r>
      <w:r w:rsidR="006A4777">
        <w:rPr>
          <w:bCs/>
        </w:rPr>
        <w:t xml:space="preserve"> záväzky)</w:t>
      </w:r>
      <w:r w:rsidR="006A4777">
        <w:rPr>
          <w:bCs/>
        </w:rPr>
        <w:tab/>
      </w:r>
      <w:r w:rsidR="00736B4A">
        <w:rPr>
          <w:bCs/>
        </w:rPr>
        <w:t>2</w:t>
      </w:r>
      <w:r w:rsidR="008E4AA2">
        <w:rPr>
          <w:bCs/>
        </w:rPr>
        <w:t>.</w:t>
      </w:r>
      <w:r w:rsidR="00736B4A">
        <w:rPr>
          <w:bCs/>
        </w:rPr>
        <w:t>094</w:t>
      </w:r>
      <w:r w:rsidRPr="00342E13">
        <w:rPr>
          <w:bCs/>
        </w:rPr>
        <w:t>.</w:t>
      </w:r>
      <w:r w:rsidR="00736B4A">
        <w:rPr>
          <w:bCs/>
        </w:rPr>
        <w:t>872</w:t>
      </w:r>
      <w:r w:rsidRPr="00342E13">
        <w:rPr>
          <w:bCs/>
        </w:rPr>
        <w:t xml:space="preserve"> €</w:t>
      </w:r>
    </w:p>
    <w:p w:rsidR="00C66540" w:rsidRDefault="00C66540" w:rsidP="00342E13">
      <w:pPr>
        <w:widowControl w:val="0"/>
        <w:autoSpaceDE w:val="0"/>
        <w:autoSpaceDN w:val="0"/>
        <w:adjustRightInd w:val="0"/>
        <w:rPr>
          <w:bCs/>
        </w:rPr>
      </w:pPr>
    </w:p>
    <w:p w:rsidR="00C66540" w:rsidRDefault="00C66540" w:rsidP="00342E13">
      <w:pPr>
        <w:widowControl w:val="0"/>
        <w:autoSpaceDE w:val="0"/>
        <w:autoSpaceDN w:val="0"/>
        <w:adjustRightInd w:val="0"/>
        <w:rPr>
          <w:bCs/>
        </w:rPr>
      </w:pPr>
    </w:p>
    <w:p w:rsidR="00C66540" w:rsidRPr="00342E13" w:rsidRDefault="00C66540" w:rsidP="00C66540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P</w:t>
      </w:r>
      <w:r w:rsidRPr="00342E13">
        <w:rPr>
          <w:bCs/>
        </w:rPr>
        <w:t>odiel (</w:t>
      </w:r>
      <w:r>
        <w:rPr>
          <w:bCs/>
        </w:rPr>
        <w:t>c</w:t>
      </w:r>
      <w:r w:rsidRPr="00342E13">
        <w:rPr>
          <w:bCs/>
        </w:rPr>
        <w:t>elkové</w:t>
      </w:r>
      <w:r>
        <w:rPr>
          <w:bCs/>
        </w:rPr>
        <w:t xml:space="preserve"> záväzky / aktíva</w:t>
      </w:r>
      <w:r w:rsidR="00677F3B">
        <w:rPr>
          <w:bCs/>
        </w:rPr>
        <w:t>-majetok</w:t>
      </w:r>
      <w:r>
        <w:rPr>
          <w:bCs/>
        </w:rPr>
        <w:t>)</w:t>
      </w:r>
      <w:r>
        <w:rPr>
          <w:bCs/>
        </w:rPr>
        <w:tab/>
      </w:r>
      <w:r>
        <w:rPr>
          <w:bCs/>
        </w:rPr>
        <w:tab/>
        <w:t>2</w:t>
      </w:r>
      <w:r w:rsidR="00736B4A">
        <w:rPr>
          <w:bCs/>
        </w:rPr>
        <w:t>4</w:t>
      </w:r>
      <w:r>
        <w:rPr>
          <w:bCs/>
        </w:rPr>
        <w:t>,</w:t>
      </w:r>
      <w:r w:rsidR="00736B4A">
        <w:rPr>
          <w:bCs/>
        </w:rPr>
        <w:t>96</w:t>
      </w:r>
      <w:r>
        <w:rPr>
          <w:bCs/>
        </w:rPr>
        <w:t xml:space="preserve"> %</w:t>
      </w:r>
    </w:p>
    <w:p w:rsidR="00C66540" w:rsidRPr="00342E13" w:rsidRDefault="00C66540" w:rsidP="00C66540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P</w:t>
      </w:r>
      <w:r w:rsidRPr="00342E13">
        <w:rPr>
          <w:bCs/>
        </w:rPr>
        <w:t>odiel (</w:t>
      </w:r>
      <w:r>
        <w:rPr>
          <w:bCs/>
        </w:rPr>
        <w:t>c</w:t>
      </w:r>
      <w:r w:rsidRPr="00342E13">
        <w:rPr>
          <w:bCs/>
        </w:rPr>
        <w:t>elkové</w:t>
      </w:r>
      <w:r>
        <w:rPr>
          <w:bCs/>
        </w:rPr>
        <w:t xml:space="preserve"> záväzky / c</w:t>
      </w:r>
      <w:r w:rsidRPr="00342E13">
        <w:rPr>
          <w:bCs/>
        </w:rPr>
        <w:t>elkový obrat</w:t>
      </w:r>
      <w:r>
        <w:rPr>
          <w:bCs/>
        </w:rPr>
        <w:t xml:space="preserve"> - ročný)</w:t>
      </w:r>
      <w:r>
        <w:rPr>
          <w:bCs/>
        </w:rPr>
        <w:tab/>
        <w:t>1</w:t>
      </w:r>
      <w:r w:rsidR="00736B4A">
        <w:rPr>
          <w:bCs/>
        </w:rPr>
        <w:t>3</w:t>
      </w:r>
      <w:r>
        <w:rPr>
          <w:bCs/>
        </w:rPr>
        <w:t>,9</w:t>
      </w:r>
      <w:r w:rsidR="00736B4A">
        <w:rPr>
          <w:bCs/>
        </w:rPr>
        <w:t>7</w:t>
      </w:r>
      <w:r>
        <w:rPr>
          <w:bCs/>
        </w:rPr>
        <w:t xml:space="preserve"> %</w:t>
      </w:r>
    </w:p>
    <w:p w:rsidR="00C66540" w:rsidRPr="00342E13" w:rsidRDefault="00C66540" w:rsidP="00342E13">
      <w:pPr>
        <w:widowControl w:val="0"/>
        <w:autoSpaceDE w:val="0"/>
        <w:autoSpaceDN w:val="0"/>
        <w:adjustRightInd w:val="0"/>
        <w:rPr>
          <w:bCs/>
        </w:rPr>
      </w:pPr>
    </w:p>
    <w:sectPr w:rsidR="00C66540" w:rsidRPr="00342E13" w:rsidSect="00C261A5">
      <w:headerReference w:type="default" r:id="rId21"/>
      <w:footerReference w:type="even" r:id="rId22"/>
      <w:footerReference w:type="default" r:id="rId23"/>
      <w:pgSz w:w="11909" w:h="16834"/>
      <w:pgMar w:top="1417" w:right="1417" w:bottom="1417" w:left="1417" w:header="708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6E3" w:rsidRDefault="000746E3">
      <w:r>
        <w:separator/>
      </w:r>
    </w:p>
  </w:endnote>
  <w:endnote w:type="continuationSeparator" w:id="0">
    <w:p w:rsidR="000746E3" w:rsidRDefault="0007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6E5" w:rsidRDefault="003A06E5" w:rsidP="00C261A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A06E5" w:rsidRDefault="003A06E5" w:rsidP="00C261A5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6E5" w:rsidRDefault="003A06E5" w:rsidP="00C261A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11</w:t>
    </w:r>
    <w:r>
      <w:rPr>
        <w:rStyle w:val="slostrany"/>
      </w:rPr>
      <w:fldChar w:fldCharType="end"/>
    </w:r>
  </w:p>
  <w:p w:rsidR="003A06E5" w:rsidRDefault="003A06E5" w:rsidP="00C261A5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6E3" w:rsidRDefault="000746E3">
      <w:r>
        <w:separator/>
      </w:r>
    </w:p>
  </w:footnote>
  <w:footnote w:type="continuationSeparator" w:id="0">
    <w:p w:rsidR="000746E3" w:rsidRDefault="00074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6E5" w:rsidRDefault="003A06E5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73D0F"/>
    <w:multiLevelType w:val="multilevel"/>
    <w:tmpl w:val="66C4F152"/>
    <w:lvl w:ilvl="0">
      <w:start w:val="1169"/>
      <w:numFmt w:val="decimal"/>
      <w:lvlText w:val="%1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1">
      <w:start w:val="7637"/>
      <w:numFmt w:val="decimal"/>
      <w:lvlText w:val="%1-%2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2">
      <w:start w:val="602"/>
      <w:numFmt w:val="decimal"/>
      <w:lvlText w:val="%1-%2-%3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" w15:restartNumberingAfterBreak="0">
    <w:nsid w:val="0E103239"/>
    <w:multiLevelType w:val="hybridMultilevel"/>
    <w:tmpl w:val="A60463B0"/>
    <w:lvl w:ilvl="0" w:tplc="2A84911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2BB6"/>
    <w:multiLevelType w:val="hybridMultilevel"/>
    <w:tmpl w:val="4C80393A"/>
    <w:lvl w:ilvl="0" w:tplc="DA28CA66">
      <w:numFmt w:val="bullet"/>
      <w:lvlText w:val="-"/>
      <w:lvlJc w:val="left"/>
      <w:pPr>
        <w:tabs>
          <w:tab w:val="num" w:pos="1590"/>
        </w:tabs>
        <w:ind w:left="1590" w:hanging="87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4308D6"/>
    <w:multiLevelType w:val="hybridMultilevel"/>
    <w:tmpl w:val="4470D8E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1E98"/>
    <w:multiLevelType w:val="hybridMultilevel"/>
    <w:tmpl w:val="465835B4"/>
    <w:lvl w:ilvl="0" w:tplc="E7CE45E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C092C"/>
    <w:multiLevelType w:val="hybridMultilevel"/>
    <w:tmpl w:val="AEC8AB96"/>
    <w:lvl w:ilvl="0" w:tplc="266C605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57236"/>
    <w:multiLevelType w:val="hybridMultilevel"/>
    <w:tmpl w:val="9BA6BEEC"/>
    <w:lvl w:ilvl="0" w:tplc="D7184362">
      <w:start w:val="9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8BC4879"/>
    <w:multiLevelType w:val="hybridMultilevel"/>
    <w:tmpl w:val="5808B3FE"/>
    <w:lvl w:ilvl="0" w:tplc="75EA052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E29CD"/>
    <w:multiLevelType w:val="hybridMultilevel"/>
    <w:tmpl w:val="CC684E38"/>
    <w:lvl w:ilvl="0" w:tplc="041B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59028D"/>
    <w:multiLevelType w:val="hybridMultilevel"/>
    <w:tmpl w:val="40542A4E"/>
    <w:lvl w:ilvl="0" w:tplc="629C6B1A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05C4D"/>
    <w:multiLevelType w:val="hybridMultilevel"/>
    <w:tmpl w:val="2110B402"/>
    <w:lvl w:ilvl="0" w:tplc="8EDC1222">
      <w:start w:val="1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3711B"/>
    <w:multiLevelType w:val="multilevel"/>
    <w:tmpl w:val="C0E21BEC"/>
    <w:lvl w:ilvl="0">
      <w:start w:val="1038"/>
      <w:numFmt w:val="decimal"/>
      <w:lvlText w:val="%1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1">
      <w:start w:val="7637"/>
      <w:numFmt w:val="decimal"/>
      <w:lvlText w:val="%1-%2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2">
      <w:start w:val="602"/>
      <w:numFmt w:val="decimal"/>
      <w:lvlText w:val="%1-%2-%3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2" w15:restartNumberingAfterBreak="0">
    <w:nsid w:val="51737B72"/>
    <w:multiLevelType w:val="hybridMultilevel"/>
    <w:tmpl w:val="E056BCF4"/>
    <w:lvl w:ilvl="0" w:tplc="485EBC36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85C69"/>
    <w:multiLevelType w:val="multilevel"/>
    <w:tmpl w:val="EC5881D8"/>
    <w:lvl w:ilvl="0">
      <w:start w:val="174"/>
      <w:numFmt w:val="decimal"/>
      <w:lvlText w:val="%1"/>
      <w:lvlJc w:val="left"/>
      <w:pPr>
        <w:tabs>
          <w:tab w:val="num" w:pos="2715"/>
        </w:tabs>
        <w:ind w:left="2715" w:hanging="2715"/>
      </w:pPr>
      <w:rPr>
        <w:rFonts w:hint="default"/>
      </w:rPr>
    </w:lvl>
    <w:lvl w:ilvl="1">
      <w:start w:val="7637"/>
      <w:numFmt w:val="decimal"/>
      <w:lvlText w:val="%1-%2"/>
      <w:lvlJc w:val="left"/>
      <w:pPr>
        <w:tabs>
          <w:tab w:val="num" w:pos="2797"/>
        </w:tabs>
        <w:ind w:left="2797" w:hanging="2715"/>
      </w:pPr>
      <w:rPr>
        <w:rFonts w:hint="default"/>
      </w:rPr>
    </w:lvl>
    <w:lvl w:ilvl="2">
      <w:start w:val="602"/>
      <w:numFmt w:val="decimal"/>
      <w:lvlText w:val="%1-%2-%3"/>
      <w:lvlJc w:val="left"/>
      <w:pPr>
        <w:tabs>
          <w:tab w:val="num" w:pos="2879"/>
        </w:tabs>
        <w:ind w:left="2879" w:hanging="27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961"/>
        </w:tabs>
        <w:ind w:left="2961" w:hanging="27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3043"/>
        </w:tabs>
        <w:ind w:left="3043" w:hanging="27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125"/>
        </w:tabs>
        <w:ind w:left="3125" w:hanging="27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207"/>
        </w:tabs>
        <w:ind w:left="3207" w:hanging="27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289"/>
        </w:tabs>
        <w:ind w:left="3289" w:hanging="27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3536"/>
        </w:tabs>
        <w:ind w:left="3536" w:hanging="2880"/>
      </w:pPr>
      <w:rPr>
        <w:rFonts w:hint="default"/>
      </w:rPr>
    </w:lvl>
  </w:abstractNum>
  <w:abstractNum w:abstractNumId="14" w15:restartNumberingAfterBreak="0">
    <w:nsid w:val="52DA4760"/>
    <w:multiLevelType w:val="hybridMultilevel"/>
    <w:tmpl w:val="2A52166C"/>
    <w:lvl w:ilvl="0" w:tplc="5798EFA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73D33"/>
    <w:multiLevelType w:val="hybridMultilevel"/>
    <w:tmpl w:val="3176C21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645D6"/>
    <w:multiLevelType w:val="hybridMultilevel"/>
    <w:tmpl w:val="6122C5A2"/>
    <w:lvl w:ilvl="0" w:tplc="CF765E2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330F0"/>
    <w:multiLevelType w:val="multilevel"/>
    <w:tmpl w:val="2EB8BC9E"/>
    <w:lvl w:ilvl="0">
      <w:start w:val="916"/>
      <w:numFmt w:val="decimal"/>
      <w:lvlText w:val="%1"/>
      <w:lvlJc w:val="left"/>
      <w:pPr>
        <w:tabs>
          <w:tab w:val="num" w:pos="2715"/>
        </w:tabs>
        <w:ind w:left="2715" w:hanging="2715"/>
      </w:pPr>
      <w:rPr>
        <w:rFonts w:hint="default"/>
      </w:rPr>
    </w:lvl>
    <w:lvl w:ilvl="1">
      <w:start w:val="7637"/>
      <w:numFmt w:val="decimal"/>
      <w:lvlText w:val="%1-%2"/>
      <w:lvlJc w:val="left"/>
      <w:pPr>
        <w:tabs>
          <w:tab w:val="num" w:pos="2797"/>
        </w:tabs>
        <w:ind w:left="2797" w:hanging="2715"/>
      </w:pPr>
      <w:rPr>
        <w:rFonts w:hint="default"/>
      </w:rPr>
    </w:lvl>
    <w:lvl w:ilvl="2">
      <w:start w:val="602"/>
      <w:numFmt w:val="decimal"/>
      <w:lvlText w:val="%1-%2-%3"/>
      <w:lvlJc w:val="left"/>
      <w:pPr>
        <w:tabs>
          <w:tab w:val="num" w:pos="2879"/>
        </w:tabs>
        <w:ind w:left="2879" w:hanging="27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961"/>
        </w:tabs>
        <w:ind w:left="2961" w:hanging="27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3043"/>
        </w:tabs>
        <w:ind w:left="3043" w:hanging="27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125"/>
        </w:tabs>
        <w:ind w:left="3125" w:hanging="27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207"/>
        </w:tabs>
        <w:ind w:left="3207" w:hanging="27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289"/>
        </w:tabs>
        <w:ind w:left="3289" w:hanging="27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3536"/>
        </w:tabs>
        <w:ind w:left="3536" w:hanging="2880"/>
      </w:pPr>
      <w:rPr>
        <w:rFonts w:hint="default"/>
      </w:rPr>
    </w:lvl>
  </w:abstractNum>
  <w:abstractNum w:abstractNumId="18" w15:restartNumberingAfterBreak="0">
    <w:nsid w:val="634B00F1"/>
    <w:multiLevelType w:val="hybridMultilevel"/>
    <w:tmpl w:val="2750A202"/>
    <w:lvl w:ilvl="0" w:tplc="61126A0E">
      <w:start w:val="1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42A7952"/>
    <w:multiLevelType w:val="hybridMultilevel"/>
    <w:tmpl w:val="36746B72"/>
    <w:lvl w:ilvl="0" w:tplc="DCCC324E">
      <w:start w:val="1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692F83"/>
    <w:multiLevelType w:val="hybridMultilevel"/>
    <w:tmpl w:val="DBC6B74A"/>
    <w:lvl w:ilvl="0" w:tplc="427886AC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4B5B4C"/>
    <w:multiLevelType w:val="hybridMultilevel"/>
    <w:tmpl w:val="C2BAE358"/>
    <w:lvl w:ilvl="0" w:tplc="3B627CB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7359D4"/>
    <w:multiLevelType w:val="hybridMultilevel"/>
    <w:tmpl w:val="D7962A88"/>
    <w:lvl w:ilvl="0" w:tplc="041B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81C0EF9"/>
    <w:multiLevelType w:val="hybridMultilevel"/>
    <w:tmpl w:val="587043C6"/>
    <w:lvl w:ilvl="0" w:tplc="8D4869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321B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5061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98E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8814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DE3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F6F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7C8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9C79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9CD0437"/>
    <w:multiLevelType w:val="hybridMultilevel"/>
    <w:tmpl w:val="9DBCB986"/>
    <w:lvl w:ilvl="0" w:tplc="DB328E68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0E06AF"/>
    <w:multiLevelType w:val="hybridMultilevel"/>
    <w:tmpl w:val="517A2390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17"/>
  </w:num>
  <w:num w:numId="5">
    <w:abstractNumId w:val="8"/>
  </w:num>
  <w:num w:numId="6">
    <w:abstractNumId w:val="2"/>
  </w:num>
  <w:num w:numId="7">
    <w:abstractNumId w:val="22"/>
  </w:num>
  <w:num w:numId="8">
    <w:abstractNumId w:val="3"/>
  </w:num>
  <w:num w:numId="9">
    <w:abstractNumId w:val="15"/>
  </w:num>
  <w:num w:numId="10">
    <w:abstractNumId w:val="25"/>
  </w:num>
  <w:num w:numId="11">
    <w:abstractNumId w:val="23"/>
  </w:num>
  <w:num w:numId="12">
    <w:abstractNumId w:val="24"/>
  </w:num>
  <w:num w:numId="13">
    <w:abstractNumId w:val="7"/>
  </w:num>
  <w:num w:numId="14">
    <w:abstractNumId w:val="19"/>
  </w:num>
  <w:num w:numId="15">
    <w:abstractNumId w:val="18"/>
  </w:num>
  <w:num w:numId="16">
    <w:abstractNumId w:val="10"/>
  </w:num>
  <w:num w:numId="17">
    <w:abstractNumId w:val="4"/>
  </w:num>
  <w:num w:numId="18">
    <w:abstractNumId w:val="20"/>
  </w:num>
  <w:num w:numId="19">
    <w:abstractNumId w:val="5"/>
  </w:num>
  <w:num w:numId="20">
    <w:abstractNumId w:val="9"/>
  </w:num>
  <w:num w:numId="21">
    <w:abstractNumId w:val="12"/>
  </w:num>
  <w:num w:numId="22">
    <w:abstractNumId w:val="6"/>
  </w:num>
  <w:num w:numId="23">
    <w:abstractNumId w:val="16"/>
  </w:num>
  <w:num w:numId="24">
    <w:abstractNumId w:val="1"/>
  </w:num>
  <w:num w:numId="25">
    <w:abstractNumId w:val="1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5F3"/>
    <w:rsid w:val="000018F8"/>
    <w:rsid w:val="00002E0B"/>
    <w:rsid w:val="00004DAB"/>
    <w:rsid w:val="00014FF8"/>
    <w:rsid w:val="000157D0"/>
    <w:rsid w:val="0002233D"/>
    <w:rsid w:val="00025C82"/>
    <w:rsid w:val="00027369"/>
    <w:rsid w:val="00030BF8"/>
    <w:rsid w:val="00030E1E"/>
    <w:rsid w:val="000326E5"/>
    <w:rsid w:val="00034DDB"/>
    <w:rsid w:val="00037DD3"/>
    <w:rsid w:val="00041FAB"/>
    <w:rsid w:val="0004473D"/>
    <w:rsid w:val="00044E0C"/>
    <w:rsid w:val="00045A7B"/>
    <w:rsid w:val="00045F65"/>
    <w:rsid w:val="000474C4"/>
    <w:rsid w:val="000503FC"/>
    <w:rsid w:val="00050F82"/>
    <w:rsid w:val="00051718"/>
    <w:rsid w:val="0005520F"/>
    <w:rsid w:val="00056039"/>
    <w:rsid w:val="00056F4F"/>
    <w:rsid w:val="00056FCD"/>
    <w:rsid w:val="00061433"/>
    <w:rsid w:val="00062521"/>
    <w:rsid w:val="00066FDC"/>
    <w:rsid w:val="0007377E"/>
    <w:rsid w:val="000741AE"/>
    <w:rsid w:val="000746E3"/>
    <w:rsid w:val="00076E43"/>
    <w:rsid w:val="000773FD"/>
    <w:rsid w:val="000806AA"/>
    <w:rsid w:val="00082728"/>
    <w:rsid w:val="0008314D"/>
    <w:rsid w:val="00084625"/>
    <w:rsid w:val="0008482D"/>
    <w:rsid w:val="00084961"/>
    <w:rsid w:val="000879FB"/>
    <w:rsid w:val="00092091"/>
    <w:rsid w:val="0009499D"/>
    <w:rsid w:val="00097B69"/>
    <w:rsid w:val="000A4A23"/>
    <w:rsid w:val="000B0F1D"/>
    <w:rsid w:val="000B2CC2"/>
    <w:rsid w:val="000B3068"/>
    <w:rsid w:val="000B33DB"/>
    <w:rsid w:val="000B4D9E"/>
    <w:rsid w:val="000B657B"/>
    <w:rsid w:val="000B7AFB"/>
    <w:rsid w:val="000B7CAC"/>
    <w:rsid w:val="000C3140"/>
    <w:rsid w:val="000C514E"/>
    <w:rsid w:val="000C6A68"/>
    <w:rsid w:val="000D0A93"/>
    <w:rsid w:val="000D1C47"/>
    <w:rsid w:val="000D3850"/>
    <w:rsid w:val="000D3ABA"/>
    <w:rsid w:val="000D4511"/>
    <w:rsid w:val="000D6A06"/>
    <w:rsid w:val="000D7EF0"/>
    <w:rsid w:val="000E01F2"/>
    <w:rsid w:val="000E2CD2"/>
    <w:rsid w:val="000E386F"/>
    <w:rsid w:val="000E3E31"/>
    <w:rsid w:val="000E698F"/>
    <w:rsid w:val="000E6C5E"/>
    <w:rsid w:val="000E6D7B"/>
    <w:rsid w:val="000F3F81"/>
    <w:rsid w:val="000F5D84"/>
    <w:rsid w:val="0010116E"/>
    <w:rsid w:val="00102D88"/>
    <w:rsid w:val="001068E0"/>
    <w:rsid w:val="001074B2"/>
    <w:rsid w:val="001129E7"/>
    <w:rsid w:val="00124978"/>
    <w:rsid w:val="00124FD9"/>
    <w:rsid w:val="00125559"/>
    <w:rsid w:val="001255FB"/>
    <w:rsid w:val="00126004"/>
    <w:rsid w:val="00126AB3"/>
    <w:rsid w:val="00130BFA"/>
    <w:rsid w:val="00131781"/>
    <w:rsid w:val="001353DA"/>
    <w:rsid w:val="00140D4F"/>
    <w:rsid w:val="0014185C"/>
    <w:rsid w:val="00145C5A"/>
    <w:rsid w:val="00147103"/>
    <w:rsid w:val="00147D81"/>
    <w:rsid w:val="001505A9"/>
    <w:rsid w:val="00150B12"/>
    <w:rsid w:val="001517D3"/>
    <w:rsid w:val="0015494B"/>
    <w:rsid w:val="00155D21"/>
    <w:rsid w:val="0015722A"/>
    <w:rsid w:val="001617CA"/>
    <w:rsid w:val="00163CCB"/>
    <w:rsid w:val="0016411F"/>
    <w:rsid w:val="00165A1E"/>
    <w:rsid w:val="00166C0A"/>
    <w:rsid w:val="001674A2"/>
    <w:rsid w:val="001714BD"/>
    <w:rsid w:val="00171DEB"/>
    <w:rsid w:val="0017279C"/>
    <w:rsid w:val="00172BF9"/>
    <w:rsid w:val="001755A1"/>
    <w:rsid w:val="00177F65"/>
    <w:rsid w:val="001805C8"/>
    <w:rsid w:val="00181836"/>
    <w:rsid w:val="001822AC"/>
    <w:rsid w:val="00184397"/>
    <w:rsid w:val="001850D9"/>
    <w:rsid w:val="00194A3E"/>
    <w:rsid w:val="0019585E"/>
    <w:rsid w:val="00197D5C"/>
    <w:rsid w:val="001A090E"/>
    <w:rsid w:val="001A23AD"/>
    <w:rsid w:val="001A250C"/>
    <w:rsid w:val="001A3AC1"/>
    <w:rsid w:val="001A442F"/>
    <w:rsid w:val="001A4616"/>
    <w:rsid w:val="001A5FD7"/>
    <w:rsid w:val="001B5686"/>
    <w:rsid w:val="001B71CB"/>
    <w:rsid w:val="001C0343"/>
    <w:rsid w:val="001C1483"/>
    <w:rsid w:val="001C5D7D"/>
    <w:rsid w:val="001C6015"/>
    <w:rsid w:val="001C6359"/>
    <w:rsid w:val="001D2E22"/>
    <w:rsid w:val="001D7927"/>
    <w:rsid w:val="001D79CA"/>
    <w:rsid w:val="001E2058"/>
    <w:rsid w:val="001E3A51"/>
    <w:rsid w:val="001E5816"/>
    <w:rsid w:val="001E5F44"/>
    <w:rsid w:val="001E71B8"/>
    <w:rsid w:val="001E7396"/>
    <w:rsid w:val="001F071C"/>
    <w:rsid w:val="001F27C9"/>
    <w:rsid w:val="001F41E9"/>
    <w:rsid w:val="001F54FB"/>
    <w:rsid w:val="001F64D9"/>
    <w:rsid w:val="002055B2"/>
    <w:rsid w:val="00206E97"/>
    <w:rsid w:val="00207D3E"/>
    <w:rsid w:val="002104FF"/>
    <w:rsid w:val="0021320C"/>
    <w:rsid w:val="00213EEA"/>
    <w:rsid w:val="00220958"/>
    <w:rsid w:val="00221081"/>
    <w:rsid w:val="0022331C"/>
    <w:rsid w:val="002260C5"/>
    <w:rsid w:val="002267E5"/>
    <w:rsid w:val="00226C0C"/>
    <w:rsid w:val="00231BD8"/>
    <w:rsid w:val="00232E0B"/>
    <w:rsid w:val="00233CB9"/>
    <w:rsid w:val="002340A0"/>
    <w:rsid w:val="002400EA"/>
    <w:rsid w:val="002418AF"/>
    <w:rsid w:val="002430B6"/>
    <w:rsid w:val="00244A92"/>
    <w:rsid w:val="00244B07"/>
    <w:rsid w:val="00244E21"/>
    <w:rsid w:val="00245BF3"/>
    <w:rsid w:val="00252890"/>
    <w:rsid w:val="00252B9A"/>
    <w:rsid w:val="00253B12"/>
    <w:rsid w:val="002555A9"/>
    <w:rsid w:val="00255F16"/>
    <w:rsid w:val="002608CE"/>
    <w:rsid w:val="00260983"/>
    <w:rsid w:val="00260FA2"/>
    <w:rsid w:val="0026277C"/>
    <w:rsid w:val="002635E9"/>
    <w:rsid w:val="00264E22"/>
    <w:rsid w:val="002720D8"/>
    <w:rsid w:val="00272198"/>
    <w:rsid w:val="0027426C"/>
    <w:rsid w:val="00282605"/>
    <w:rsid w:val="00282996"/>
    <w:rsid w:val="002836EC"/>
    <w:rsid w:val="00285130"/>
    <w:rsid w:val="00292C78"/>
    <w:rsid w:val="00293139"/>
    <w:rsid w:val="0029374D"/>
    <w:rsid w:val="002938DE"/>
    <w:rsid w:val="00294A8F"/>
    <w:rsid w:val="002A008B"/>
    <w:rsid w:val="002A162A"/>
    <w:rsid w:val="002A3B93"/>
    <w:rsid w:val="002A4387"/>
    <w:rsid w:val="002A639B"/>
    <w:rsid w:val="002A779B"/>
    <w:rsid w:val="002A781A"/>
    <w:rsid w:val="002B3A67"/>
    <w:rsid w:val="002B405F"/>
    <w:rsid w:val="002B6879"/>
    <w:rsid w:val="002C0E4A"/>
    <w:rsid w:val="002C2915"/>
    <w:rsid w:val="002D0665"/>
    <w:rsid w:val="002D0D33"/>
    <w:rsid w:val="002D3B52"/>
    <w:rsid w:val="002D621F"/>
    <w:rsid w:val="002D6A24"/>
    <w:rsid w:val="002D6C57"/>
    <w:rsid w:val="002E0198"/>
    <w:rsid w:val="002E0380"/>
    <w:rsid w:val="002E247B"/>
    <w:rsid w:val="002E2FCF"/>
    <w:rsid w:val="002E682E"/>
    <w:rsid w:val="002F0561"/>
    <w:rsid w:val="002F060E"/>
    <w:rsid w:val="002F1984"/>
    <w:rsid w:val="002F2A73"/>
    <w:rsid w:val="002F36CF"/>
    <w:rsid w:val="002F3965"/>
    <w:rsid w:val="002F4220"/>
    <w:rsid w:val="002F7124"/>
    <w:rsid w:val="00300003"/>
    <w:rsid w:val="00300ED6"/>
    <w:rsid w:val="0030509C"/>
    <w:rsid w:val="003056F8"/>
    <w:rsid w:val="00305AE3"/>
    <w:rsid w:val="00305CC0"/>
    <w:rsid w:val="0030646E"/>
    <w:rsid w:val="00315A01"/>
    <w:rsid w:val="003173DF"/>
    <w:rsid w:val="003209C2"/>
    <w:rsid w:val="00323D84"/>
    <w:rsid w:val="003247B9"/>
    <w:rsid w:val="003249DE"/>
    <w:rsid w:val="00325C4A"/>
    <w:rsid w:val="00326966"/>
    <w:rsid w:val="003277C3"/>
    <w:rsid w:val="003321FB"/>
    <w:rsid w:val="003347D4"/>
    <w:rsid w:val="00334B8C"/>
    <w:rsid w:val="003357BD"/>
    <w:rsid w:val="0034104D"/>
    <w:rsid w:val="00342E13"/>
    <w:rsid w:val="003459DF"/>
    <w:rsid w:val="003559BA"/>
    <w:rsid w:val="00357ACF"/>
    <w:rsid w:val="003606EA"/>
    <w:rsid w:val="003642C9"/>
    <w:rsid w:val="00365DB8"/>
    <w:rsid w:val="00366713"/>
    <w:rsid w:val="003677E9"/>
    <w:rsid w:val="003701FC"/>
    <w:rsid w:val="00372A9F"/>
    <w:rsid w:val="00372BFF"/>
    <w:rsid w:val="00373C7A"/>
    <w:rsid w:val="003814DC"/>
    <w:rsid w:val="0038202C"/>
    <w:rsid w:val="00382044"/>
    <w:rsid w:val="00382E30"/>
    <w:rsid w:val="00386D67"/>
    <w:rsid w:val="0038734D"/>
    <w:rsid w:val="00387FA2"/>
    <w:rsid w:val="00391B7D"/>
    <w:rsid w:val="00392AB9"/>
    <w:rsid w:val="003946BE"/>
    <w:rsid w:val="00394A26"/>
    <w:rsid w:val="00395F44"/>
    <w:rsid w:val="00397C4E"/>
    <w:rsid w:val="00397FCC"/>
    <w:rsid w:val="003A04C8"/>
    <w:rsid w:val="003A06E5"/>
    <w:rsid w:val="003A07D6"/>
    <w:rsid w:val="003B086C"/>
    <w:rsid w:val="003B1688"/>
    <w:rsid w:val="003B20AC"/>
    <w:rsid w:val="003B2D5A"/>
    <w:rsid w:val="003B3B21"/>
    <w:rsid w:val="003B6F93"/>
    <w:rsid w:val="003C1FAF"/>
    <w:rsid w:val="003C55EB"/>
    <w:rsid w:val="003D1A04"/>
    <w:rsid w:val="003D1F67"/>
    <w:rsid w:val="003D3C2A"/>
    <w:rsid w:val="003D552B"/>
    <w:rsid w:val="003D674E"/>
    <w:rsid w:val="003E0C58"/>
    <w:rsid w:val="003E1119"/>
    <w:rsid w:val="003E24FF"/>
    <w:rsid w:val="003E3466"/>
    <w:rsid w:val="003E3E7E"/>
    <w:rsid w:val="003F1210"/>
    <w:rsid w:val="003F3F31"/>
    <w:rsid w:val="003F544A"/>
    <w:rsid w:val="003F6F34"/>
    <w:rsid w:val="003F7412"/>
    <w:rsid w:val="00402C59"/>
    <w:rsid w:val="004030D2"/>
    <w:rsid w:val="00405967"/>
    <w:rsid w:val="00411DF9"/>
    <w:rsid w:val="004125D9"/>
    <w:rsid w:val="004126F8"/>
    <w:rsid w:val="0041347F"/>
    <w:rsid w:val="00417583"/>
    <w:rsid w:val="00417670"/>
    <w:rsid w:val="004204B9"/>
    <w:rsid w:val="00422634"/>
    <w:rsid w:val="00425A8B"/>
    <w:rsid w:val="00427D77"/>
    <w:rsid w:val="004301E5"/>
    <w:rsid w:val="004337B6"/>
    <w:rsid w:val="00435456"/>
    <w:rsid w:val="00436778"/>
    <w:rsid w:val="004420EC"/>
    <w:rsid w:val="00443DF7"/>
    <w:rsid w:val="00444122"/>
    <w:rsid w:val="00444C11"/>
    <w:rsid w:val="0044571F"/>
    <w:rsid w:val="00450608"/>
    <w:rsid w:val="00450636"/>
    <w:rsid w:val="0045158D"/>
    <w:rsid w:val="00453C10"/>
    <w:rsid w:val="00454140"/>
    <w:rsid w:val="004547CC"/>
    <w:rsid w:val="00456856"/>
    <w:rsid w:val="004572D4"/>
    <w:rsid w:val="00457850"/>
    <w:rsid w:val="004578C9"/>
    <w:rsid w:val="00457F58"/>
    <w:rsid w:val="00461730"/>
    <w:rsid w:val="00462112"/>
    <w:rsid w:val="00463660"/>
    <w:rsid w:val="00463DC0"/>
    <w:rsid w:val="00464A0F"/>
    <w:rsid w:val="004743B2"/>
    <w:rsid w:val="00474C0E"/>
    <w:rsid w:val="00474C1B"/>
    <w:rsid w:val="00475481"/>
    <w:rsid w:val="00476BDA"/>
    <w:rsid w:val="00476C64"/>
    <w:rsid w:val="00481960"/>
    <w:rsid w:val="0048317F"/>
    <w:rsid w:val="004860CC"/>
    <w:rsid w:val="00492C80"/>
    <w:rsid w:val="004948B7"/>
    <w:rsid w:val="00495952"/>
    <w:rsid w:val="00496512"/>
    <w:rsid w:val="00497504"/>
    <w:rsid w:val="004A1A43"/>
    <w:rsid w:val="004A3E89"/>
    <w:rsid w:val="004A7790"/>
    <w:rsid w:val="004B0DE3"/>
    <w:rsid w:val="004B3B62"/>
    <w:rsid w:val="004B3C1E"/>
    <w:rsid w:val="004B4C5D"/>
    <w:rsid w:val="004B4D02"/>
    <w:rsid w:val="004B5011"/>
    <w:rsid w:val="004B6593"/>
    <w:rsid w:val="004B73C2"/>
    <w:rsid w:val="004B7E35"/>
    <w:rsid w:val="004C33E8"/>
    <w:rsid w:val="004C3986"/>
    <w:rsid w:val="004C55AA"/>
    <w:rsid w:val="004C75C7"/>
    <w:rsid w:val="004D0198"/>
    <w:rsid w:val="004D192A"/>
    <w:rsid w:val="004D3263"/>
    <w:rsid w:val="004D51EA"/>
    <w:rsid w:val="004E0049"/>
    <w:rsid w:val="004E0A4C"/>
    <w:rsid w:val="004E2484"/>
    <w:rsid w:val="004E317C"/>
    <w:rsid w:val="004E4B14"/>
    <w:rsid w:val="004E5AD0"/>
    <w:rsid w:val="004F2F42"/>
    <w:rsid w:val="004F3336"/>
    <w:rsid w:val="004F3FBB"/>
    <w:rsid w:val="004F5DA6"/>
    <w:rsid w:val="004F630C"/>
    <w:rsid w:val="00502E6B"/>
    <w:rsid w:val="00504899"/>
    <w:rsid w:val="00504DB6"/>
    <w:rsid w:val="00507634"/>
    <w:rsid w:val="0051279A"/>
    <w:rsid w:val="00513AC9"/>
    <w:rsid w:val="00514C4D"/>
    <w:rsid w:val="00517351"/>
    <w:rsid w:val="005175C2"/>
    <w:rsid w:val="00517D20"/>
    <w:rsid w:val="00520A93"/>
    <w:rsid w:val="0052236C"/>
    <w:rsid w:val="00522FEF"/>
    <w:rsid w:val="00524068"/>
    <w:rsid w:val="005246E4"/>
    <w:rsid w:val="00524806"/>
    <w:rsid w:val="005273D2"/>
    <w:rsid w:val="005276F9"/>
    <w:rsid w:val="0053024A"/>
    <w:rsid w:val="00533594"/>
    <w:rsid w:val="005347E6"/>
    <w:rsid w:val="005371D0"/>
    <w:rsid w:val="00537BF9"/>
    <w:rsid w:val="00540894"/>
    <w:rsid w:val="005428BD"/>
    <w:rsid w:val="005434C3"/>
    <w:rsid w:val="00543F61"/>
    <w:rsid w:val="005458A2"/>
    <w:rsid w:val="005511A3"/>
    <w:rsid w:val="00551629"/>
    <w:rsid w:val="00553F50"/>
    <w:rsid w:val="00554C97"/>
    <w:rsid w:val="00555172"/>
    <w:rsid w:val="00556DB3"/>
    <w:rsid w:val="00557151"/>
    <w:rsid w:val="00560691"/>
    <w:rsid w:val="00561DA7"/>
    <w:rsid w:val="00562BB4"/>
    <w:rsid w:val="0056514B"/>
    <w:rsid w:val="00565B09"/>
    <w:rsid w:val="00565E51"/>
    <w:rsid w:val="00570ADA"/>
    <w:rsid w:val="00572887"/>
    <w:rsid w:val="00573080"/>
    <w:rsid w:val="00573132"/>
    <w:rsid w:val="00573930"/>
    <w:rsid w:val="00573A52"/>
    <w:rsid w:val="00576B2F"/>
    <w:rsid w:val="005779DF"/>
    <w:rsid w:val="00580D0E"/>
    <w:rsid w:val="005822ED"/>
    <w:rsid w:val="00584CB7"/>
    <w:rsid w:val="00584D3D"/>
    <w:rsid w:val="00584EF4"/>
    <w:rsid w:val="005875C9"/>
    <w:rsid w:val="00590053"/>
    <w:rsid w:val="00590C66"/>
    <w:rsid w:val="005925F6"/>
    <w:rsid w:val="00592D87"/>
    <w:rsid w:val="005A092C"/>
    <w:rsid w:val="005A1759"/>
    <w:rsid w:val="005A4C0C"/>
    <w:rsid w:val="005B4AFA"/>
    <w:rsid w:val="005B4DC1"/>
    <w:rsid w:val="005B7934"/>
    <w:rsid w:val="005C0E6F"/>
    <w:rsid w:val="005C20D6"/>
    <w:rsid w:val="005C4D1D"/>
    <w:rsid w:val="005C60DB"/>
    <w:rsid w:val="005D1503"/>
    <w:rsid w:val="005D2239"/>
    <w:rsid w:val="005D4DBE"/>
    <w:rsid w:val="005D55F3"/>
    <w:rsid w:val="005D7308"/>
    <w:rsid w:val="005D77A1"/>
    <w:rsid w:val="005E0E4F"/>
    <w:rsid w:val="005E3C54"/>
    <w:rsid w:val="005E4DCB"/>
    <w:rsid w:val="005E54BC"/>
    <w:rsid w:val="005F1C45"/>
    <w:rsid w:val="005F20D9"/>
    <w:rsid w:val="005F2CEE"/>
    <w:rsid w:val="005F3D41"/>
    <w:rsid w:val="00601C30"/>
    <w:rsid w:val="00602AAE"/>
    <w:rsid w:val="00603B4C"/>
    <w:rsid w:val="00604B14"/>
    <w:rsid w:val="006060AE"/>
    <w:rsid w:val="00610FD2"/>
    <w:rsid w:val="0061236E"/>
    <w:rsid w:val="00613461"/>
    <w:rsid w:val="00613D30"/>
    <w:rsid w:val="00613EAC"/>
    <w:rsid w:val="00614784"/>
    <w:rsid w:val="00616239"/>
    <w:rsid w:val="00620A4F"/>
    <w:rsid w:val="0062180D"/>
    <w:rsid w:val="00621CEB"/>
    <w:rsid w:val="00623DF4"/>
    <w:rsid w:val="00625F98"/>
    <w:rsid w:val="00627C59"/>
    <w:rsid w:val="0063078F"/>
    <w:rsid w:val="006314F6"/>
    <w:rsid w:val="006339E9"/>
    <w:rsid w:val="00633AFA"/>
    <w:rsid w:val="00635FFA"/>
    <w:rsid w:val="00636EE8"/>
    <w:rsid w:val="00640C34"/>
    <w:rsid w:val="00642867"/>
    <w:rsid w:val="00644095"/>
    <w:rsid w:val="00645095"/>
    <w:rsid w:val="00647A00"/>
    <w:rsid w:val="00650967"/>
    <w:rsid w:val="00650BBB"/>
    <w:rsid w:val="00650D20"/>
    <w:rsid w:val="00653244"/>
    <w:rsid w:val="00653895"/>
    <w:rsid w:val="00655C70"/>
    <w:rsid w:val="00656F15"/>
    <w:rsid w:val="006576EB"/>
    <w:rsid w:val="0066011C"/>
    <w:rsid w:val="00660E00"/>
    <w:rsid w:val="006615BF"/>
    <w:rsid w:val="00662643"/>
    <w:rsid w:val="00663839"/>
    <w:rsid w:val="00673802"/>
    <w:rsid w:val="00673E12"/>
    <w:rsid w:val="006756E4"/>
    <w:rsid w:val="00676512"/>
    <w:rsid w:val="0067729D"/>
    <w:rsid w:val="00677A5D"/>
    <w:rsid w:val="00677F3B"/>
    <w:rsid w:val="00680822"/>
    <w:rsid w:val="0068135A"/>
    <w:rsid w:val="006823E9"/>
    <w:rsid w:val="00683F7B"/>
    <w:rsid w:val="006870FD"/>
    <w:rsid w:val="006906C7"/>
    <w:rsid w:val="0069380D"/>
    <w:rsid w:val="006951C8"/>
    <w:rsid w:val="006A0CCF"/>
    <w:rsid w:val="006A1CC7"/>
    <w:rsid w:val="006A4777"/>
    <w:rsid w:val="006B1BC0"/>
    <w:rsid w:val="006B2E18"/>
    <w:rsid w:val="006B55F7"/>
    <w:rsid w:val="006B6FE3"/>
    <w:rsid w:val="006C1FFD"/>
    <w:rsid w:val="006C3071"/>
    <w:rsid w:val="006C4E48"/>
    <w:rsid w:val="006C5971"/>
    <w:rsid w:val="006C657F"/>
    <w:rsid w:val="006C6587"/>
    <w:rsid w:val="006C67DB"/>
    <w:rsid w:val="006D050E"/>
    <w:rsid w:val="006D33A1"/>
    <w:rsid w:val="006D3A68"/>
    <w:rsid w:val="006D74D2"/>
    <w:rsid w:val="006E02D6"/>
    <w:rsid w:val="006E2E97"/>
    <w:rsid w:val="006E3049"/>
    <w:rsid w:val="006E47E2"/>
    <w:rsid w:val="006E4F7C"/>
    <w:rsid w:val="006E731B"/>
    <w:rsid w:val="006F15C9"/>
    <w:rsid w:val="006F1706"/>
    <w:rsid w:val="006F3693"/>
    <w:rsid w:val="006F47A7"/>
    <w:rsid w:val="006F5C5A"/>
    <w:rsid w:val="006F6C7C"/>
    <w:rsid w:val="006F7C55"/>
    <w:rsid w:val="0070050C"/>
    <w:rsid w:val="007013A3"/>
    <w:rsid w:val="0070272A"/>
    <w:rsid w:val="007101F4"/>
    <w:rsid w:val="0071301F"/>
    <w:rsid w:val="00717440"/>
    <w:rsid w:val="00717E73"/>
    <w:rsid w:val="007238ED"/>
    <w:rsid w:val="00724135"/>
    <w:rsid w:val="00724892"/>
    <w:rsid w:val="00726049"/>
    <w:rsid w:val="00726AE2"/>
    <w:rsid w:val="0072716E"/>
    <w:rsid w:val="00732908"/>
    <w:rsid w:val="00733339"/>
    <w:rsid w:val="00734481"/>
    <w:rsid w:val="00734640"/>
    <w:rsid w:val="00735B3B"/>
    <w:rsid w:val="00736B4A"/>
    <w:rsid w:val="00736DAB"/>
    <w:rsid w:val="0073746B"/>
    <w:rsid w:val="007375B9"/>
    <w:rsid w:val="00737EEE"/>
    <w:rsid w:val="00743D70"/>
    <w:rsid w:val="00744443"/>
    <w:rsid w:val="00744FF0"/>
    <w:rsid w:val="00746AE8"/>
    <w:rsid w:val="007474F1"/>
    <w:rsid w:val="00750BF2"/>
    <w:rsid w:val="00753E64"/>
    <w:rsid w:val="00754BEA"/>
    <w:rsid w:val="007578F8"/>
    <w:rsid w:val="007651FE"/>
    <w:rsid w:val="007664C4"/>
    <w:rsid w:val="007702BD"/>
    <w:rsid w:val="00770E15"/>
    <w:rsid w:val="007712AA"/>
    <w:rsid w:val="007722A2"/>
    <w:rsid w:val="00772416"/>
    <w:rsid w:val="00777B84"/>
    <w:rsid w:val="00786318"/>
    <w:rsid w:val="0079073F"/>
    <w:rsid w:val="00796C65"/>
    <w:rsid w:val="007A0F02"/>
    <w:rsid w:val="007A10D9"/>
    <w:rsid w:val="007A1364"/>
    <w:rsid w:val="007A53CE"/>
    <w:rsid w:val="007A5B0C"/>
    <w:rsid w:val="007A7E8F"/>
    <w:rsid w:val="007B10BA"/>
    <w:rsid w:val="007B3D0C"/>
    <w:rsid w:val="007B4154"/>
    <w:rsid w:val="007B7949"/>
    <w:rsid w:val="007C0204"/>
    <w:rsid w:val="007C036D"/>
    <w:rsid w:val="007C1F58"/>
    <w:rsid w:val="007D045A"/>
    <w:rsid w:val="007D2422"/>
    <w:rsid w:val="007D2E85"/>
    <w:rsid w:val="007D3AD8"/>
    <w:rsid w:val="007D3EC4"/>
    <w:rsid w:val="007D684F"/>
    <w:rsid w:val="007E1FDE"/>
    <w:rsid w:val="007E2E1B"/>
    <w:rsid w:val="007E6699"/>
    <w:rsid w:val="007E7219"/>
    <w:rsid w:val="007E778B"/>
    <w:rsid w:val="007F0043"/>
    <w:rsid w:val="007F6D55"/>
    <w:rsid w:val="008002E7"/>
    <w:rsid w:val="00806F24"/>
    <w:rsid w:val="0081067D"/>
    <w:rsid w:val="0081362B"/>
    <w:rsid w:val="00815260"/>
    <w:rsid w:val="008170F3"/>
    <w:rsid w:val="00822FC8"/>
    <w:rsid w:val="0082343C"/>
    <w:rsid w:val="00825443"/>
    <w:rsid w:val="00826493"/>
    <w:rsid w:val="00827296"/>
    <w:rsid w:val="00830868"/>
    <w:rsid w:val="008311F6"/>
    <w:rsid w:val="00832C46"/>
    <w:rsid w:val="008377B8"/>
    <w:rsid w:val="00841268"/>
    <w:rsid w:val="00842665"/>
    <w:rsid w:val="00844B93"/>
    <w:rsid w:val="008457FF"/>
    <w:rsid w:val="008467D5"/>
    <w:rsid w:val="00847125"/>
    <w:rsid w:val="0084769A"/>
    <w:rsid w:val="0085286F"/>
    <w:rsid w:val="00852D15"/>
    <w:rsid w:val="008632A5"/>
    <w:rsid w:val="00864808"/>
    <w:rsid w:val="00866C3E"/>
    <w:rsid w:val="00874FF2"/>
    <w:rsid w:val="008767C9"/>
    <w:rsid w:val="008832AB"/>
    <w:rsid w:val="00885124"/>
    <w:rsid w:val="00885798"/>
    <w:rsid w:val="008905C0"/>
    <w:rsid w:val="00892072"/>
    <w:rsid w:val="008931F1"/>
    <w:rsid w:val="00894035"/>
    <w:rsid w:val="008945FA"/>
    <w:rsid w:val="00896850"/>
    <w:rsid w:val="008A6D8D"/>
    <w:rsid w:val="008A7262"/>
    <w:rsid w:val="008B099F"/>
    <w:rsid w:val="008B0EC2"/>
    <w:rsid w:val="008B5B47"/>
    <w:rsid w:val="008C1C95"/>
    <w:rsid w:val="008C5124"/>
    <w:rsid w:val="008C7963"/>
    <w:rsid w:val="008D0F5F"/>
    <w:rsid w:val="008D5A56"/>
    <w:rsid w:val="008E04BC"/>
    <w:rsid w:val="008E34ED"/>
    <w:rsid w:val="008E4AA2"/>
    <w:rsid w:val="008E58CA"/>
    <w:rsid w:val="008E5D44"/>
    <w:rsid w:val="008F15C2"/>
    <w:rsid w:val="008F1A72"/>
    <w:rsid w:val="008F582E"/>
    <w:rsid w:val="008F72EF"/>
    <w:rsid w:val="008F75D3"/>
    <w:rsid w:val="009003FC"/>
    <w:rsid w:val="00903A5F"/>
    <w:rsid w:val="00906443"/>
    <w:rsid w:val="009068E1"/>
    <w:rsid w:val="009075B7"/>
    <w:rsid w:val="00911235"/>
    <w:rsid w:val="009127FC"/>
    <w:rsid w:val="00913FDC"/>
    <w:rsid w:val="00917A43"/>
    <w:rsid w:val="00921B23"/>
    <w:rsid w:val="0092217F"/>
    <w:rsid w:val="00925994"/>
    <w:rsid w:val="009271B4"/>
    <w:rsid w:val="0092780B"/>
    <w:rsid w:val="009319E2"/>
    <w:rsid w:val="009328C5"/>
    <w:rsid w:val="00933A1F"/>
    <w:rsid w:val="0093465A"/>
    <w:rsid w:val="009354DC"/>
    <w:rsid w:val="009444E5"/>
    <w:rsid w:val="009451D8"/>
    <w:rsid w:val="00946319"/>
    <w:rsid w:val="0094773D"/>
    <w:rsid w:val="009534DE"/>
    <w:rsid w:val="00961364"/>
    <w:rsid w:val="00961A0E"/>
    <w:rsid w:val="00963222"/>
    <w:rsid w:val="00963508"/>
    <w:rsid w:val="00970907"/>
    <w:rsid w:val="00971A2C"/>
    <w:rsid w:val="00975198"/>
    <w:rsid w:val="00975E81"/>
    <w:rsid w:val="00981C03"/>
    <w:rsid w:val="0098769F"/>
    <w:rsid w:val="00991DD0"/>
    <w:rsid w:val="009949C8"/>
    <w:rsid w:val="00994C89"/>
    <w:rsid w:val="009A09BB"/>
    <w:rsid w:val="009A2F50"/>
    <w:rsid w:val="009A4326"/>
    <w:rsid w:val="009A4824"/>
    <w:rsid w:val="009A5221"/>
    <w:rsid w:val="009A6BA3"/>
    <w:rsid w:val="009A7CAB"/>
    <w:rsid w:val="009B0C2A"/>
    <w:rsid w:val="009B0D34"/>
    <w:rsid w:val="009B25A3"/>
    <w:rsid w:val="009B4B20"/>
    <w:rsid w:val="009B6E3E"/>
    <w:rsid w:val="009C0381"/>
    <w:rsid w:val="009C3971"/>
    <w:rsid w:val="009C3EA6"/>
    <w:rsid w:val="009C4394"/>
    <w:rsid w:val="009C45F6"/>
    <w:rsid w:val="009C5223"/>
    <w:rsid w:val="009C675E"/>
    <w:rsid w:val="009D05E9"/>
    <w:rsid w:val="009D1830"/>
    <w:rsid w:val="009D46B9"/>
    <w:rsid w:val="009D794B"/>
    <w:rsid w:val="009D7C9A"/>
    <w:rsid w:val="009D7D29"/>
    <w:rsid w:val="009D7EE6"/>
    <w:rsid w:val="009D7FAE"/>
    <w:rsid w:val="009E0EFF"/>
    <w:rsid w:val="009E11C1"/>
    <w:rsid w:val="009E173B"/>
    <w:rsid w:val="009E6499"/>
    <w:rsid w:val="009E7F89"/>
    <w:rsid w:val="009F01F0"/>
    <w:rsid w:val="009F2048"/>
    <w:rsid w:val="009F2751"/>
    <w:rsid w:val="009F40ED"/>
    <w:rsid w:val="00A02A3C"/>
    <w:rsid w:val="00A03B9F"/>
    <w:rsid w:val="00A06DB0"/>
    <w:rsid w:val="00A155AD"/>
    <w:rsid w:val="00A15769"/>
    <w:rsid w:val="00A21C82"/>
    <w:rsid w:val="00A22E22"/>
    <w:rsid w:val="00A23558"/>
    <w:rsid w:val="00A24AF6"/>
    <w:rsid w:val="00A25069"/>
    <w:rsid w:val="00A25FCE"/>
    <w:rsid w:val="00A26297"/>
    <w:rsid w:val="00A27929"/>
    <w:rsid w:val="00A3155A"/>
    <w:rsid w:val="00A4099A"/>
    <w:rsid w:val="00A43FD2"/>
    <w:rsid w:val="00A44B47"/>
    <w:rsid w:val="00A460F2"/>
    <w:rsid w:val="00A52FE3"/>
    <w:rsid w:val="00A563F9"/>
    <w:rsid w:val="00A60484"/>
    <w:rsid w:val="00A61E5C"/>
    <w:rsid w:val="00A62F12"/>
    <w:rsid w:val="00A63831"/>
    <w:rsid w:val="00A65223"/>
    <w:rsid w:val="00A6536B"/>
    <w:rsid w:val="00A657D6"/>
    <w:rsid w:val="00A67263"/>
    <w:rsid w:val="00A6728C"/>
    <w:rsid w:val="00A708E7"/>
    <w:rsid w:val="00A70AFF"/>
    <w:rsid w:val="00A73830"/>
    <w:rsid w:val="00A74E9C"/>
    <w:rsid w:val="00A768D2"/>
    <w:rsid w:val="00A77001"/>
    <w:rsid w:val="00A817ED"/>
    <w:rsid w:val="00A85837"/>
    <w:rsid w:val="00A91A05"/>
    <w:rsid w:val="00A91F32"/>
    <w:rsid w:val="00A92B20"/>
    <w:rsid w:val="00A92B9F"/>
    <w:rsid w:val="00A92C83"/>
    <w:rsid w:val="00A94DC4"/>
    <w:rsid w:val="00A9561D"/>
    <w:rsid w:val="00A95DDC"/>
    <w:rsid w:val="00A96513"/>
    <w:rsid w:val="00A97FD8"/>
    <w:rsid w:val="00AA1265"/>
    <w:rsid w:val="00AA1682"/>
    <w:rsid w:val="00AA4FDB"/>
    <w:rsid w:val="00AA63DD"/>
    <w:rsid w:val="00AB193E"/>
    <w:rsid w:val="00AB39EB"/>
    <w:rsid w:val="00AB3BB3"/>
    <w:rsid w:val="00AB3E19"/>
    <w:rsid w:val="00AB57FC"/>
    <w:rsid w:val="00AB6E80"/>
    <w:rsid w:val="00AB7230"/>
    <w:rsid w:val="00AC0D39"/>
    <w:rsid w:val="00AC189D"/>
    <w:rsid w:val="00AC2BA2"/>
    <w:rsid w:val="00AC4D99"/>
    <w:rsid w:val="00AC51F3"/>
    <w:rsid w:val="00AC69A5"/>
    <w:rsid w:val="00AC6A8E"/>
    <w:rsid w:val="00AC7FC9"/>
    <w:rsid w:val="00AD0F3C"/>
    <w:rsid w:val="00AD1015"/>
    <w:rsid w:val="00AD4B21"/>
    <w:rsid w:val="00AD56F1"/>
    <w:rsid w:val="00AD6F84"/>
    <w:rsid w:val="00AE15C2"/>
    <w:rsid w:val="00AE36C0"/>
    <w:rsid w:val="00AE707D"/>
    <w:rsid w:val="00AF33EA"/>
    <w:rsid w:val="00AF6891"/>
    <w:rsid w:val="00AF6AEE"/>
    <w:rsid w:val="00B04EDE"/>
    <w:rsid w:val="00B05737"/>
    <w:rsid w:val="00B06E05"/>
    <w:rsid w:val="00B07578"/>
    <w:rsid w:val="00B1002D"/>
    <w:rsid w:val="00B12DEF"/>
    <w:rsid w:val="00B1545A"/>
    <w:rsid w:val="00B167FB"/>
    <w:rsid w:val="00B201EB"/>
    <w:rsid w:val="00B23CBC"/>
    <w:rsid w:val="00B24262"/>
    <w:rsid w:val="00B250AF"/>
    <w:rsid w:val="00B30595"/>
    <w:rsid w:val="00B30E8D"/>
    <w:rsid w:val="00B32937"/>
    <w:rsid w:val="00B339D0"/>
    <w:rsid w:val="00B34663"/>
    <w:rsid w:val="00B41C3F"/>
    <w:rsid w:val="00B42202"/>
    <w:rsid w:val="00B42757"/>
    <w:rsid w:val="00B4524B"/>
    <w:rsid w:val="00B457DB"/>
    <w:rsid w:val="00B463D5"/>
    <w:rsid w:val="00B5170C"/>
    <w:rsid w:val="00B51712"/>
    <w:rsid w:val="00B52A29"/>
    <w:rsid w:val="00B53B74"/>
    <w:rsid w:val="00B54028"/>
    <w:rsid w:val="00B571B7"/>
    <w:rsid w:val="00B60CF6"/>
    <w:rsid w:val="00B62706"/>
    <w:rsid w:val="00B64DA7"/>
    <w:rsid w:val="00B70794"/>
    <w:rsid w:val="00B708CE"/>
    <w:rsid w:val="00B72AB7"/>
    <w:rsid w:val="00B753F6"/>
    <w:rsid w:val="00B7546B"/>
    <w:rsid w:val="00B8074B"/>
    <w:rsid w:val="00B826AE"/>
    <w:rsid w:val="00B86153"/>
    <w:rsid w:val="00B86A60"/>
    <w:rsid w:val="00B87D94"/>
    <w:rsid w:val="00B91452"/>
    <w:rsid w:val="00B92010"/>
    <w:rsid w:val="00B9242A"/>
    <w:rsid w:val="00B92730"/>
    <w:rsid w:val="00B92AAF"/>
    <w:rsid w:val="00B93B47"/>
    <w:rsid w:val="00B94FEF"/>
    <w:rsid w:val="00B95738"/>
    <w:rsid w:val="00B960B4"/>
    <w:rsid w:val="00B973DC"/>
    <w:rsid w:val="00BA3FE6"/>
    <w:rsid w:val="00BA60A6"/>
    <w:rsid w:val="00BB3B62"/>
    <w:rsid w:val="00BB430F"/>
    <w:rsid w:val="00BC3970"/>
    <w:rsid w:val="00BD0960"/>
    <w:rsid w:val="00BD237E"/>
    <w:rsid w:val="00BD2389"/>
    <w:rsid w:val="00BD299A"/>
    <w:rsid w:val="00BD332D"/>
    <w:rsid w:val="00BD416E"/>
    <w:rsid w:val="00BD642D"/>
    <w:rsid w:val="00BE11DF"/>
    <w:rsid w:val="00BE2AF1"/>
    <w:rsid w:val="00BE5B23"/>
    <w:rsid w:val="00BF04E2"/>
    <w:rsid w:val="00BF04E4"/>
    <w:rsid w:val="00BF353A"/>
    <w:rsid w:val="00BF53E0"/>
    <w:rsid w:val="00BF6FB1"/>
    <w:rsid w:val="00C037D3"/>
    <w:rsid w:val="00C03814"/>
    <w:rsid w:val="00C04BB1"/>
    <w:rsid w:val="00C054CE"/>
    <w:rsid w:val="00C056DE"/>
    <w:rsid w:val="00C07CF0"/>
    <w:rsid w:val="00C116B0"/>
    <w:rsid w:val="00C11C01"/>
    <w:rsid w:val="00C1268A"/>
    <w:rsid w:val="00C12EF4"/>
    <w:rsid w:val="00C14B88"/>
    <w:rsid w:val="00C178C3"/>
    <w:rsid w:val="00C2376B"/>
    <w:rsid w:val="00C261A5"/>
    <w:rsid w:val="00C26B4E"/>
    <w:rsid w:val="00C3070E"/>
    <w:rsid w:val="00C32462"/>
    <w:rsid w:val="00C32539"/>
    <w:rsid w:val="00C3372A"/>
    <w:rsid w:val="00C33D0A"/>
    <w:rsid w:val="00C345A2"/>
    <w:rsid w:val="00C36A53"/>
    <w:rsid w:val="00C42A41"/>
    <w:rsid w:val="00C47EEE"/>
    <w:rsid w:val="00C52286"/>
    <w:rsid w:val="00C641B6"/>
    <w:rsid w:val="00C64426"/>
    <w:rsid w:val="00C64A25"/>
    <w:rsid w:val="00C64D84"/>
    <w:rsid w:val="00C661A5"/>
    <w:rsid w:val="00C66540"/>
    <w:rsid w:val="00C710FA"/>
    <w:rsid w:val="00C73490"/>
    <w:rsid w:val="00C74FFF"/>
    <w:rsid w:val="00C80768"/>
    <w:rsid w:val="00C80CF0"/>
    <w:rsid w:val="00C83940"/>
    <w:rsid w:val="00C8478D"/>
    <w:rsid w:val="00C85C9B"/>
    <w:rsid w:val="00C91058"/>
    <w:rsid w:val="00C9274C"/>
    <w:rsid w:val="00C92D34"/>
    <w:rsid w:val="00C93A9D"/>
    <w:rsid w:val="00C93B15"/>
    <w:rsid w:val="00C97C2A"/>
    <w:rsid w:val="00C97EB1"/>
    <w:rsid w:val="00CA0325"/>
    <w:rsid w:val="00CA15D4"/>
    <w:rsid w:val="00CA5A7F"/>
    <w:rsid w:val="00CB4B74"/>
    <w:rsid w:val="00CB7CBF"/>
    <w:rsid w:val="00CC3E0A"/>
    <w:rsid w:val="00CC4A73"/>
    <w:rsid w:val="00CC695A"/>
    <w:rsid w:val="00CD04C9"/>
    <w:rsid w:val="00CD0762"/>
    <w:rsid w:val="00CD0D0D"/>
    <w:rsid w:val="00CD22EA"/>
    <w:rsid w:val="00CE02F8"/>
    <w:rsid w:val="00CE1C2E"/>
    <w:rsid w:val="00CE51D6"/>
    <w:rsid w:val="00CE753B"/>
    <w:rsid w:val="00CE78AC"/>
    <w:rsid w:val="00CE7B1C"/>
    <w:rsid w:val="00CF083A"/>
    <w:rsid w:val="00CF1F55"/>
    <w:rsid w:val="00CF38B4"/>
    <w:rsid w:val="00CF406D"/>
    <w:rsid w:val="00CF7B62"/>
    <w:rsid w:val="00D01E17"/>
    <w:rsid w:val="00D044E6"/>
    <w:rsid w:val="00D05C2A"/>
    <w:rsid w:val="00D061D3"/>
    <w:rsid w:val="00D0775F"/>
    <w:rsid w:val="00D10163"/>
    <w:rsid w:val="00D12FBB"/>
    <w:rsid w:val="00D13501"/>
    <w:rsid w:val="00D15750"/>
    <w:rsid w:val="00D17ADB"/>
    <w:rsid w:val="00D204D0"/>
    <w:rsid w:val="00D2108B"/>
    <w:rsid w:val="00D21B98"/>
    <w:rsid w:val="00D22A39"/>
    <w:rsid w:val="00D22EBF"/>
    <w:rsid w:val="00D23E69"/>
    <w:rsid w:val="00D24C30"/>
    <w:rsid w:val="00D26CB0"/>
    <w:rsid w:val="00D26EA3"/>
    <w:rsid w:val="00D276BB"/>
    <w:rsid w:val="00D3315F"/>
    <w:rsid w:val="00D33388"/>
    <w:rsid w:val="00D34372"/>
    <w:rsid w:val="00D34E30"/>
    <w:rsid w:val="00D358BF"/>
    <w:rsid w:val="00D35D96"/>
    <w:rsid w:val="00D37224"/>
    <w:rsid w:val="00D377D6"/>
    <w:rsid w:val="00D40E5D"/>
    <w:rsid w:val="00D42A3E"/>
    <w:rsid w:val="00D43466"/>
    <w:rsid w:val="00D46EE4"/>
    <w:rsid w:val="00D47019"/>
    <w:rsid w:val="00D47644"/>
    <w:rsid w:val="00D4780D"/>
    <w:rsid w:val="00D5095B"/>
    <w:rsid w:val="00D52524"/>
    <w:rsid w:val="00D53188"/>
    <w:rsid w:val="00D53D5D"/>
    <w:rsid w:val="00D554C5"/>
    <w:rsid w:val="00D5609A"/>
    <w:rsid w:val="00D61D9F"/>
    <w:rsid w:val="00D65305"/>
    <w:rsid w:val="00D6594D"/>
    <w:rsid w:val="00D66418"/>
    <w:rsid w:val="00D67BE5"/>
    <w:rsid w:val="00D717FE"/>
    <w:rsid w:val="00D71970"/>
    <w:rsid w:val="00D71A46"/>
    <w:rsid w:val="00D71C3E"/>
    <w:rsid w:val="00D72353"/>
    <w:rsid w:val="00D76341"/>
    <w:rsid w:val="00D805B1"/>
    <w:rsid w:val="00D83226"/>
    <w:rsid w:val="00D83B08"/>
    <w:rsid w:val="00D851C4"/>
    <w:rsid w:val="00D85AA4"/>
    <w:rsid w:val="00D8639C"/>
    <w:rsid w:val="00D86A8D"/>
    <w:rsid w:val="00D87718"/>
    <w:rsid w:val="00D913E8"/>
    <w:rsid w:val="00D92FDA"/>
    <w:rsid w:val="00D93070"/>
    <w:rsid w:val="00D9486D"/>
    <w:rsid w:val="00D95B3B"/>
    <w:rsid w:val="00D97402"/>
    <w:rsid w:val="00DA0711"/>
    <w:rsid w:val="00DA2021"/>
    <w:rsid w:val="00DA3382"/>
    <w:rsid w:val="00DB1A1C"/>
    <w:rsid w:val="00DB1D3B"/>
    <w:rsid w:val="00DB2B6E"/>
    <w:rsid w:val="00DB59B4"/>
    <w:rsid w:val="00DB67C4"/>
    <w:rsid w:val="00DB6B86"/>
    <w:rsid w:val="00DB776E"/>
    <w:rsid w:val="00DC7B20"/>
    <w:rsid w:val="00DD188D"/>
    <w:rsid w:val="00DD6694"/>
    <w:rsid w:val="00DD702F"/>
    <w:rsid w:val="00DD7563"/>
    <w:rsid w:val="00DE0AFE"/>
    <w:rsid w:val="00DE19A0"/>
    <w:rsid w:val="00DE32E9"/>
    <w:rsid w:val="00DE4719"/>
    <w:rsid w:val="00DE6839"/>
    <w:rsid w:val="00E05416"/>
    <w:rsid w:val="00E137D5"/>
    <w:rsid w:val="00E15227"/>
    <w:rsid w:val="00E156AD"/>
    <w:rsid w:val="00E22B5F"/>
    <w:rsid w:val="00E2350B"/>
    <w:rsid w:val="00E249CB"/>
    <w:rsid w:val="00E25D64"/>
    <w:rsid w:val="00E273AF"/>
    <w:rsid w:val="00E31D20"/>
    <w:rsid w:val="00E34FFA"/>
    <w:rsid w:val="00E3530D"/>
    <w:rsid w:val="00E3664D"/>
    <w:rsid w:val="00E41351"/>
    <w:rsid w:val="00E41A65"/>
    <w:rsid w:val="00E44393"/>
    <w:rsid w:val="00E444AE"/>
    <w:rsid w:val="00E456E7"/>
    <w:rsid w:val="00E512AB"/>
    <w:rsid w:val="00E518C4"/>
    <w:rsid w:val="00E54652"/>
    <w:rsid w:val="00E54986"/>
    <w:rsid w:val="00E57ABE"/>
    <w:rsid w:val="00E57F2E"/>
    <w:rsid w:val="00E61F0C"/>
    <w:rsid w:val="00E63966"/>
    <w:rsid w:val="00E63F04"/>
    <w:rsid w:val="00E6551F"/>
    <w:rsid w:val="00E71B95"/>
    <w:rsid w:val="00E72879"/>
    <w:rsid w:val="00E7380E"/>
    <w:rsid w:val="00E74393"/>
    <w:rsid w:val="00E771B0"/>
    <w:rsid w:val="00E81D72"/>
    <w:rsid w:val="00E8506C"/>
    <w:rsid w:val="00E905D1"/>
    <w:rsid w:val="00E910EC"/>
    <w:rsid w:val="00E915A0"/>
    <w:rsid w:val="00E94F66"/>
    <w:rsid w:val="00E9695A"/>
    <w:rsid w:val="00EA010C"/>
    <w:rsid w:val="00EA063A"/>
    <w:rsid w:val="00EA0D7D"/>
    <w:rsid w:val="00EA5B61"/>
    <w:rsid w:val="00EA6A20"/>
    <w:rsid w:val="00EB10DB"/>
    <w:rsid w:val="00EB4E4A"/>
    <w:rsid w:val="00EB5EF5"/>
    <w:rsid w:val="00EC0FE0"/>
    <w:rsid w:val="00EC206F"/>
    <w:rsid w:val="00EC23EE"/>
    <w:rsid w:val="00EC32C4"/>
    <w:rsid w:val="00EC3ED5"/>
    <w:rsid w:val="00EC4B6E"/>
    <w:rsid w:val="00EC598D"/>
    <w:rsid w:val="00EC5C27"/>
    <w:rsid w:val="00EC66B5"/>
    <w:rsid w:val="00EC7CA7"/>
    <w:rsid w:val="00EC7CB5"/>
    <w:rsid w:val="00ED0E71"/>
    <w:rsid w:val="00ED0ECA"/>
    <w:rsid w:val="00ED105F"/>
    <w:rsid w:val="00ED1696"/>
    <w:rsid w:val="00ED229F"/>
    <w:rsid w:val="00ED5D08"/>
    <w:rsid w:val="00EE009F"/>
    <w:rsid w:val="00EE19B1"/>
    <w:rsid w:val="00EE2BDB"/>
    <w:rsid w:val="00EE4129"/>
    <w:rsid w:val="00EE470A"/>
    <w:rsid w:val="00EE48BD"/>
    <w:rsid w:val="00EE4D05"/>
    <w:rsid w:val="00EE6985"/>
    <w:rsid w:val="00EE6AC4"/>
    <w:rsid w:val="00EE6FEC"/>
    <w:rsid w:val="00EE7CDA"/>
    <w:rsid w:val="00EF18E8"/>
    <w:rsid w:val="00EF2FE2"/>
    <w:rsid w:val="00EF69BC"/>
    <w:rsid w:val="00EF716B"/>
    <w:rsid w:val="00F02306"/>
    <w:rsid w:val="00F04CB3"/>
    <w:rsid w:val="00F0500C"/>
    <w:rsid w:val="00F10D5E"/>
    <w:rsid w:val="00F129FC"/>
    <w:rsid w:val="00F13895"/>
    <w:rsid w:val="00F14EBF"/>
    <w:rsid w:val="00F15C36"/>
    <w:rsid w:val="00F22EF9"/>
    <w:rsid w:val="00F2586F"/>
    <w:rsid w:val="00F32416"/>
    <w:rsid w:val="00F33CE8"/>
    <w:rsid w:val="00F33DD2"/>
    <w:rsid w:val="00F35837"/>
    <w:rsid w:val="00F367AD"/>
    <w:rsid w:val="00F367DF"/>
    <w:rsid w:val="00F374F6"/>
    <w:rsid w:val="00F37579"/>
    <w:rsid w:val="00F42E9D"/>
    <w:rsid w:val="00F450B5"/>
    <w:rsid w:val="00F4536F"/>
    <w:rsid w:val="00F457BC"/>
    <w:rsid w:val="00F45F41"/>
    <w:rsid w:val="00F463F9"/>
    <w:rsid w:val="00F47786"/>
    <w:rsid w:val="00F47B4A"/>
    <w:rsid w:val="00F524AF"/>
    <w:rsid w:val="00F525E0"/>
    <w:rsid w:val="00F53777"/>
    <w:rsid w:val="00F538F2"/>
    <w:rsid w:val="00F53CBC"/>
    <w:rsid w:val="00F564DF"/>
    <w:rsid w:val="00F6004F"/>
    <w:rsid w:val="00F64206"/>
    <w:rsid w:val="00F64DDC"/>
    <w:rsid w:val="00F6580C"/>
    <w:rsid w:val="00F67053"/>
    <w:rsid w:val="00F74939"/>
    <w:rsid w:val="00F77148"/>
    <w:rsid w:val="00F7754C"/>
    <w:rsid w:val="00F81615"/>
    <w:rsid w:val="00F82174"/>
    <w:rsid w:val="00F85F4F"/>
    <w:rsid w:val="00F8663B"/>
    <w:rsid w:val="00F8716D"/>
    <w:rsid w:val="00F9546B"/>
    <w:rsid w:val="00F95896"/>
    <w:rsid w:val="00FA13F2"/>
    <w:rsid w:val="00FA2FBA"/>
    <w:rsid w:val="00FA4246"/>
    <w:rsid w:val="00FA440B"/>
    <w:rsid w:val="00FA66FC"/>
    <w:rsid w:val="00FA6BE2"/>
    <w:rsid w:val="00FB0491"/>
    <w:rsid w:val="00FB06C1"/>
    <w:rsid w:val="00FB209C"/>
    <w:rsid w:val="00FB25A2"/>
    <w:rsid w:val="00FB3311"/>
    <w:rsid w:val="00FB334C"/>
    <w:rsid w:val="00FB3CEC"/>
    <w:rsid w:val="00FB4789"/>
    <w:rsid w:val="00FB52FD"/>
    <w:rsid w:val="00FB7DB0"/>
    <w:rsid w:val="00FC1FCB"/>
    <w:rsid w:val="00FC29F0"/>
    <w:rsid w:val="00FD15F9"/>
    <w:rsid w:val="00FD20CE"/>
    <w:rsid w:val="00FD31ED"/>
    <w:rsid w:val="00FD33FD"/>
    <w:rsid w:val="00FD36D3"/>
    <w:rsid w:val="00FD659D"/>
    <w:rsid w:val="00FD6BE0"/>
    <w:rsid w:val="00FD7AF1"/>
    <w:rsid w:val="00FE1EF5"/>
    <w:rsid w:val="00FE3F5A"/>
    <w:rsid w:val="00FE60C3"/>
    <w:rsid w:val="00FF0C84"/>
    <w:rsid w:val="00FF13DD"/>
    <w:rsid w:val="00FF426D"/>
    <w:rsid w:val="00FF4F37"/>
    <w:rsid w:val="00FF5D97"/>
    <w:rsid w:val="00FF5F68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0C88AD2"/>
  <w15:docId w15:val="{6DE909D5-4A62-419C-A514-90C5EFC0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widowControl w:val="0"/>
      <w:autoSpaceDE w:val="0"/>
      <w:autoSpaceDN w:val="0"/>
      <w:adjustRightInd w:val="0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widowControl w:val="0"/>
      <w:autoSpaceDE w:val="0"/>
      <w:autoSpaceDN w:val="0"/>
      <w:adjustRightInd w:val="0"/>
      <w:jc w:val="center"/>
    </w:pPr>
    <w:rPr>
      <w:sz w:val="32"/>
      <w:szCs w:val="28"/>
      <w:u w:val="single"/>
    </w:rPr>
  </w:style>
  <w:style w:type="paragraph" w:styleId="Textbubliny">
    <w:name w:val="Balloon Text"/>
    <w:basedOn w:val="Normlny"/>
    <w:semiHidden/>
    <w:rsid w:val="004D51E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rsid w:val="003173DF"/>
    <w:pPr>
      <w:tabs>
        <w:tab w:val="center" w:pos="4703"/>
        <w:tab w:val="right" w:pos="9406"/>
      </w:tabs>
    </w:pPr>
    <w:rPr>
      <w:lang w:eastAsia="en-US"/>
    </w:rPr>
  </w:style>
  <w:style w:type="character" w:styleId="Hypertextovprepojenie">
    <w:name w:val="Hyperlink"/>
    <w:rsid w:val="00CC695A"/>
    <w:rPr>
      <w:color w:val="0000FF"/>
      <w:u w:val="single"/>
    </w:rPr>
  </w:style>
  <w:style w:type="paragraph" w:styleId="Pta">
    <w:name w:val="footer"/>
    <w:basedOn w:val="Normlny"/>
    <w:rsid w:val="00C261A5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261A5"/>
  </w:style>
  <w:style w:type="paragraph" w:customStyle="1" w:styleId="CharCharCharChar1CharCharCharChar">
    <w:name w:val="Char Char Char Char1 Char Char Char Char"/>
    <w:aliases w:val=" Char Char Char Char Char Char Char Char Char Char Char Char Char, Char Char Char Char1 Char Char Char Char"/>
    <w:basedOn w:val="Normlny"/>
    <w:rsid w:val="00633AFA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CharChar">
    <w:name w:val="Char Char Char Char Char Char Char Char"/>
    <w:basedOn w:val="Normlny"/>
    <w:rsid w:val="00FB06C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9328C5"/>
    <w:pPr>
      <w:ind w:left="708"/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E71B9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8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35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9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6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6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8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1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17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5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5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10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8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9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1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7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1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5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5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9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4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8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7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1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5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2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lubovnianskanemocnica.sk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23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chart" Target="charts/chart6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chart" Target="charts/chart3.xml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Lubovnianska_nemocnica\LN_no_2018\RozborHospodareniaLNno\Rozbor_06_2018_N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Lubovnianska_nemocnica\LN_no_2018\RozborHospodareniaLNno\Rozbor_06_2018_N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Lubovnianska_nemocnica\LN_no_2018\RozborHospodareniaLNno\Rozbor_06_2018_N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Lubovnianska_nemocnica\LN_no_2018\RozborHospodareniaLNno\Rozbor_06_2018_N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Lubovnianska_nemocnica\LN_no_2018\RozborHospodareniaLNno\Rozbor_06_2018_N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Lubovnianska_nemocnica\LN_no_2018\RozborHospodareniaLNno\Rozbor_06_2018_N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Lubovnianska_nemocnica\LN_no_2018\RozborHospodareniaLNno\Rozbor_06_2018_N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75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/>
              <a:t>Náklady a výnosy</a:t>
            </a:r>
          </a:p>
        </c:rich>
      </c:tx>
      <c:layout>
        <c:manualLayout>
          <c:xMode val="edge"/>
          <c:yMode val="edge"/>
          <c:x val="0.40001292865098093"/>
          <c:y val="3.9040342179449794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0178041543026706"/>
          <c:y val="0.21111187468125969"/>
          <c:w val="0.77893175074183973"/>
          <c:h val="0.4074088809638344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Analyza!$B$1</c:f>
              <c:strCache>
                <c:ptCount val="1"/>
                <c:pt idx="0">
                  <c:v> 30.06.2017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FFCC99" mc:Ignorable="a14" a14:legacySpreadsheetColorIndex="47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Analyza!$A$2:$A$4</c:f>
              <c:strCache>
                <c:ptCount val="3"/>
                <c:pt idx="0">
                  <c:v>Náklady</c:v>
                </c:pt>
                <c:pt idx="1">
                  <c:v>Výnosy</c:v>
                </c:pt>
                <c:pt idx="2">
                  <c:v>Hos. výs.</c:v>
                </c:pt>
              </c:strCache>
            </c:strRef>
          </c:cat>
          <c:val>
            <c:numRef>
              <c:f>Analyza!$B$2:$B$4</c:f>
              <c:numCache>
                <c:formatCode>#,##0_ ;[Red]\-#,##0\ </c:formatCode>
                <c:ptCount val="3"/>
                <c:pt idx="0">
                  <c:v>5756921.549999998</c:v>
                </c:pt>
                <c:pt idx="1">
                  <c:v>6438965.5099999961</c:v>
                </c:pt>
                <c:pt idx="2">
                  <c:v>682043.9599999981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17C-4B8F-8D90-4F89CE4FBB3C}"/>
            </c:ext>
          </c:extLst>
        </c:ser>
        <c:ser>
          <c:idx val="1"/>
          <c:order val="1"/>
          <c:tx>
            <c:strRef>
              <c:f>Analyza!$C$1</c:f>
              <c:strCache>
                <c:ptCount val="1"/>
                <c:pt idx="0">
                  <c:v>plán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339966" mc:Ignorable="a14" a14:legacySpreadsheetColorIndex="57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Analyza!$A$2:$A$4</c:f>
              <c:strCache>
                <c:ptCount val="3"/>
                <c:pt idx="0">
                  <c:v>Náklady</c:v>
                </c:pt>
                <c:pt idx="1">
                  <c:v>Výnosy</c:v>
                </c:pt>
                <c:pt idx="2">
                  <c:v>Hos. výs.</c:v>
                </c:pt>
              </c:strCache>
            </c:strRef>
          </c:cat>
          <c:val>
            <c:numRef>
              <c:f>Analyza!$C$2:$C$4</c:f>
              <c:numCache>
                <c:formatCode>#,##0</c:formatCode>
                <c:ptCount val="3"/>
                <c:pt idx="0">
                  <c:v>6293880.7599999998</c:v>
                </c:pt>
                <c:pt idx="1">
                  <c:v>6962698</c:v>
                </c:pt>
                <c:pt idx="2">
                  <c:v>668817.24000000022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17C-4B8F-8D90-4F89CE4FBB3C}"/>
            </c:ext>
          </c:extLst>
        </c:ser>
        <c:ser>
          <c:idx val="2"/>
          <c:order val="2"/>
          <c:tx>
            <c:strRef>
              <c:f>Analyza!$D$1</c:f>
              <c:strCache>
                <c:ptCount val="1"/>
                <c:pt idx="0">
                  <c:v>30.06.2018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CCFFCC" mc:Ignorable="a14" a14:legacySpreadsheetColorIndex="42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Analyza!$A$2:$A$4</c:f>
              <c:strCache>
                <c:ptCount val="3"/>
                <c:pt idx="0">
                  <c:v>Náklady</c:v>
                </c:pt>
                <c:pt idx="1">
                  <c:v>Výnosy</c:v>
                </c:pt>
                <c:pt idx="2">
                  <c:v>Hos. výs.</c:v>
                </c:pt>
              </c:strCache>
            </c:strRef>
          </c:cat>
          <c:val>
            <c:numRef>
              <c:f>Analyza!$D$2:$D$4</c:f>
              <c:numCache>
                <c:formatCode>#,##0_ ;[Red]\-#,##0\ </c:formatCode>
                <c:ptCount val="3"/>
                <c:pt idx="0">
                  <c:v>6422255.4700000007</c:v>
                </c:pt>
                <c:pt idx="1">
                  <c:v>6929668.4300000006</c:v>
                </c:pt>
                <c:pt idx="2">
                  <c:v>507412.95999999996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17C-4B8F-8D90-4F89CE4FBB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2865024"/>
        <c:axId val="36401664"/>
      </c:barChart>
      <c:catAx>
        <c:axId val="172865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36401664"/>
        <c:crosses val="autoZero"/>
        <c:auto val="1"/>
        <c:lblAlgn val="ctr"/>
        <c:lblOffset val="100"/>
        <c:tickMarkSkip val="1"/>
        <c:noMultiLvlLbl val="0"/>
      </c:catAx>
      <c:valAx>
        <c:axId val="3640166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sk-SK"/>
                  <a:t>v Eur
</a:t>
                </a:r>
              </a:p>
            </c:rich>
          </c:tx>
          <c:layout>
            <c:manualLayout>
              <c:xMode val="edge"/>
              <c:yMode val="edge"/>
              <c:x val="2.2093818391395435E-2"/>
              <c:y val="0.37538835423349853"/>
            </c:manualLayout>
          </c:layout>
          <c:overlay val="0"/>
          <c:spPr>
            <a:noFill/>
            <a:ln w="25400">
              <a:noFill/>
            </a:ln>
          </c:spPr>
        </c:title>
        <c:numFmt formatCode="#,##0_ ;[Red]\-#,##0\ 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17286502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ln w="3175">
            <a:solidFill>
              <a:srgbClr val="000000"/>
            </a:solidFill>
            <a:prstDash val="solid"/>
          </a:ln>
        </c:spPr>
        <c:txPr>
          <a:bodyPr/>
          <a:lstStyle/>
          <a:p>
            <a:pPr rtl="0">
              <a:defRPr sz="975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</c:dTable>
      <c:spPr>
        <a:noFill/>
        <a:ln w="3175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overlay val="0"/>
      <c:spPr>
        <a:noFill/>
        <a:ln w="25400">
          <a:noFill/>
        </a:ln>
      </c:spPr>
      <c:txPr>
        <a:bodyPr/>
        <a:lstStyle/>
        <a:p>
          <a:pPr>
            <a:defRPr sz="12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116741128044755"/>
          <c:y val="0.17428571428571429"/>
          <c:w val="0.79572060026352009"/>
          <c:h val="0.72857142857142854"/>
        </c:manualLayout>
      </c:layout>
      <c:pie3DChart>
        <c:varyColors val="1"/>
        <c:ser>
          <c:idx val="0"/>
          <c:order val="0"/>
          <c:tx>
            <c:strRef>
              <c:f>Analyza!$B$470</c:f>
              <c:strCache>
                <c:ptCount val="1"/>
                <c:pt idx="0">
                  <c:v>Štruktúra použitia zdrojov</c:v>
                </c:pt>
              </c:strCache>
            </c:strRef>
          </c:tx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B045-4C28-A7F0-3F81C5220A85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B045-4C28-A7F0-3F81C5220A85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B045-4C28-A7F0-3F81C5220A85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B045-4C28-A7F0-3F81C5220A85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B045-4C28-A7F0-3F81C5220A85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B045-4C28-A7F0-3F81C5220A85}"/>
              </c:ext>
            </c:extLst>
          </c:dPt>
          <c:dLbls>
            <c:dLbl>
              <c:idx val="0"/>
              <c:layout>
                <c:manualLayout>
                  <c:x val="-6.9448716770325894E-2"/>
                  <c:y val="-7.9601049868766403E-3"/>
                </c:manualLayout>
              </c:layout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045-4C28-A7F0-3F81C5220A85}"/>
                </c:ext>
              </c:extLst>
            </c:dLbl>
            <c:dLbl>
              <c:idx val="1"/>
              <c:layout>
                <c:manualLayout>
                  <c:x val="9.7989469594246426E-2"/>
                  <c:y val="-1.7594719062894917E-2"/>
                </c:manualLayout>
              </c:layout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045-4C28-A7F0-3F81C5220A85}"/>
                </c:ext>
              </c:extLst>
            </c:dLbl>
            <c:dLbl>
              <c:idx val="2"/>
              <c:layout>
                <c:manualLayout>
                  <c:x val="0"/>
                  <c:y val="-4.1669704481384273E-3"/>
                </c:manualLayout>
              </c:layout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045-4C28-A7F0-3F81C5220A85}"/>
                </c:ext>
              </c:extLst>
            </c:dLbl>
            <c:dLbl>
              <c:idx val="3"/>
              <c:layout>
                <c:manualLayout>
                  <c:x val="0"/>
                  <c:y val="-2.6904406046466413E-2"/>
                </c:manualLayout>
              </c:layout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045-4C28-A7F0-3F81C5220A85}"/>
                </c:ext>
              </c:extLst>
            </c:dLbl>
            <c:dLbl>
              <c:idx val="4"/>
              <c:layout>
                <c:manualLayout>
                  <c:x val="-7.469183083632056E-3"/>
                  <c:y val="-4.7519160104986878E-2"/>
                </c:manualLayout>
              </c:layout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045-4C28-A7F0-3F81C5220A85}"/>
                </c:ext>
              </c:extLst>
            </c:dLbl>
            <c:dLbl>
              <c:idx val="5"/>
              <c:layout>
                <c:manualLayout>
                  <c:x val="0.12315409990093645"/>
                  <c:y val="-1.3542407199100112E-2"/>
                </c:manualLayout>
              </c:layout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045-4C28-A7F0-3F81C5220A85}"/>
                </c:ext>
              </c:extLst>
            </c:dLbl>
            <c:numFmt formatCode="0.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dLblPos val="bestFit"/>
            <c:showLegendKey val="1"/>
            <c:showVal val="0"/>
            <c:showCatName val="1"/>
            <c:showSerName val="0"/>
            <c:showPercent val="1"/>
            <c:showBubbleSize val="0"/>
            <c:separator> 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Analyza!$A$471:$A$476</c:f>
              <c:strCache>
                <c:ptCount val="6"/>
                <c:pt idx="0">
                  <c:v>Lieky, ŠZM, Tr.L</c:v>
                </c:pt>
                <c:pt idx="1">
                  <c:v>Osobné náklady</c:v>
                </c:pt>
                <c:pt idx="2">
                  <c:v>Energie</c:v>
                </c:pt>
                <c:pt idx="3">
                  <c:v>Prevádzka</c:v>
                </c:pt>
                <c:pt idx="4">
                  <c:v>Zrealizované Investície</c:v>
                </c:pt>
                <c:pt idx="5">
                  <c:v>Zdroje pre investície a rozvoj</c:v>
                </c:pt>
              </c:strCache>
            </c:strRef>
          </c:cat>
          <c:val>
            <c:numRef>
              <c:f>Analyza!$B$471:$B$476</c:f>
              <c:numCache>
                <c:formatCode>#,##0\ [$€-1]</c:formatCode>
                <c:ptCount val="6"/>
                <c:pt idx="0">
                  <c:v>946382.8600000001</c:v>
                </c:pt>
                <c:pt idx="1">
                  <c:v>4393850.24</c:v>
                </c:pt>
                <c:pt idx="2">
                  <c:v>135617.61000000002</c:v>
                </c:pt>
                <c:pt idx="3">
                  <c:v>942498.16000000015</c:v>
                </c:pt>
                <c:pt idx="4">
                  <c:v>172469.8</c:v>
                </c:pt>
                <c:pt idx="5">
                  <c:v>338849.75999999983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045-4C28-A7F0-3F81C5220A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spPr>
    <a:noFill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k-SK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75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/>
              <a:t>Náklady a výnosy - štvrťročne</a:t>
            </a:r>
          </a:p>
        </c:rich>
      </c:tx>
      <c:layout>
        <c:manualLayout>
          <c:xMode val="edge"/>
          <c:yMode val="edge"/>
          <c:x val="0.34339061208509153"/>
          <c:y val="3.6364976849803887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7265205014193213"/>
          <c:y val="0.16853932584269662"/>
          <c:w val="0.80939281106537775"/>
          <c:h val="0.455056179775280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Analyza!$M$1</c:f>
              <c:strCache>
                <c:ptCount val="1"/>
                <c:pt idx="0">
                  <c:v>plán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99CC00" mc:Ignorable="a14" a14:legacySpreadsheetColorIndex="50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Analyza!$L$2:$L$4</c:f>
              <c:strCache>
                <c:ptCount val="3"/>
                <c:pt idx="0">
                  <c:v>Náklady</c:v>
                </c:pt>
                <c:pt idx="1">
                  <c:v>Výnosy</c:v>
                </c:pt>
                <c:pt idx="2">
                  <c:v>Hos. výs.</c:v>
                </c:pt>
              </c:strCache>
            </c:strRef>
          </c:cat>
          <c:val>
            <c:numRef>
              <c:f>Analyza!$M$2:$M$4</c:f>
              <c:numCache>
                <c:formatCode>#,##0</c:formatCode>
                <c:ptCount val="3"/>
                <c:pt idx="0">
                  <c:v>3170635.2310619997</c:v>
                </c:pt>
                <c:pt idx="1">
                  <c:v>3481349</c:v>
                </c:pt>
                <c:pt idx="2">
                  <c:v>310713.76893800031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5EF-4524-BCAE-FA6786D68F6D}"/>
            </c:ext>
          </c:extLst>
        </c:ser>
        <c:ser>
          <c:idx val="1"/>
          <c:order val="1"/>
          <c:tx>
            <c:strRef>
              <c:f>Analyza!$N$1</c:f>
              <c:strCache>
                <c:ptCount val="1"/>
                <c:pt idx="0">
                  <c:v>I.štvrťrok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CCFFCC" mc:Ignorable="a14" a14:legacySpreadsheetColorIndex="42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Analyza!$L$2:$L$4</c:f>
              <c:strCache>
                <c:ptCount val="3"/>
                <c:pt idx="0">
                  <c:v>Náklady</c:v>
                </c:pt>
                <c:pt idx="1">
                  <c:v>Výnosy</c:v>
                </c:pt>
                <c:pt idx="2">
                  <c:v>Hos. výs.</c:v>
                </c:pt>
              </c:strCache>
            </c:strRef>
          </c:cat>
          <c:val>
            <c:numRef>
              <c:f>Analyza!$N$2:$N$4</c:f>
              <c:numCache>
                <c:formatCode>#,##0</c:formatCode>
                <c:ptCount val="3"/>
                <c:pt idx="0">
                  <c:v>3130182.8600000003</c:v>
                </c:pt>
                <c:pt idx="1">
                  <c:v>3446445.4099999992</c:v>
                </c:pt>
                <c:pt idx="2">
                  <c:v>316262.54999999888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5EF-4524-BCAE-FA6786D68F6D}"/>
            </c:ext>
          </c:extLst>
        </c:ser>
        <c:ser>
          <c:idx val="2"/>
          <c:order val="2"/>
          <c:tx>
            <c:strRef>
              <c:f>Analyza!$O$1</c:f>
              <c:strCache>
                <c:ptCount val="1"/>
                <c:pt idx="0">
                  <c:v>II.štvrťrok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00FF00" mc:Ignorable="a14" a14:legacySpreadsheetColorIndex="11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Analyza!$L$2:$L$4</c:f>
              <c:strCache>
                <c:ptCount val="3"/>
                <c:pt idx="0">
                  <c:v>Náklady</c:v>
                </c:pt>
                <c:pt idx="1">
                  <c:v>Výnosy</c:v>
                </c:pt>
                <c:pt idx="2">
                  <c:v>Hos. výs.</c:v>
                </c:pt>
              </c:strCache>
            </c:strRef>
          </c:cat>
          <c:val>
            <c:numRef>
              <c:f>Analyza!$O$2:$O$4</c:f>
              <c:numCache>
                <c:formatCode>#,##0</c:formatCode>
                <c:ptCount val="3"/>
                <c:pt idx="0">
                  <c:v>3292072.61</c:v>
                </c:pt>
                <c:pt idx="1">
                  <c:v>3483223.0200000005</c:v>
                </c:pt>
                <c:pt idx="2">
                  <c:v>191150.41000000061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5EF-4524-BCAE-FA6786D68F6D}"/>
            </c:ext>
          </c:extLst>
        </c:ser>
        <c:ser>
          <c:idx val="3"/>
          <c:order val="3"/>
          <c:tx>
            <c:strRef>
              <c:f>Analyza!$P$1</c:f>
              <c:strCache>
                <c:ptCount val="1"/>
                <c:pt idx="0">
                  <c:v>III.štvrťrok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339966" mc:Ignorable="a14" a14:legacySpreadsheetColorIndex="57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Analyza!$L$2:$L$4</c:f>
              <c:strCache>
                <c:ptCount val="3"/>
                <c:pt idx="0">
                  <c:v>Náklady</c:v>
                </c:pt>
                <c:pt idx="1">
                  <c:v>Výnosy</c:v>
                </c:pt>
                <c:pt idx="2">
                  <c:v>Hos. výs.</c:v>
                </c:pt>
              </c:strCache>
            </c:strRef>
          </c:cat>
          <c:val>
            <c:numRef>
              <c:f>Analyza!$P$2:$P$4</c:f>
              <c:numCache>
                <c:formatCode>#,##0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5EF-4524-BCAE-FA6786D68F6D}"/>
            </c:ext>
          </c:extLst>
        </c:ser>
        <c:ser>
          <c:idx val="4"/>
          <c:order val="4"/>
          <c:tx>
            <c:strRef>
              <c:f>Analyza!$Q$1</c:f>
              <c:strCache>
                <c:ptCount val="1"/>
                <c:pt idx="0">
                  <c:v>IV.štvrťrok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Analyza!$L$2:$L$4</c:f>
              <c:strCache>
                <c:ptCount val="3"/>
                <c:pt idx="0">
                  <c:v>Náklady</c:v>
                </c:pt>
                <c:pt idx="1">
                  <c:v>Výnosy</c:v>
                </c:pt>
                <c:pt idx="2">
                  <c:v>Hos. výs.</c:v>
                </c:pt>
              </c:strCache>
            </c:strRef>
          </c:cat>
          <c:val>
            <c:numRef>
              <c:f>Analyza!$Q$2:$Q$4</c:f>
              <c:numCache>
                <c:formatCode>#,##0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5EF-4524-BCAE-FA6786D68F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2865536"/>
        <c:axId val="36404544"/>
      </c:barChart>
      <c:catAx>
        <c:axId val="172865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36404544"/>
        <c:crosses val="autoZero"/>
        <c:auto val="1"/>
        <c:lblAlgn val="ctr"/>
        <c:lblOffset val="100"/>
        <c:tickMarkSkip val="1"/>
        <c:noMultiLvlLbl val="0"/>
      </c:catAx>
      <c:valAx>
        <c:axId val="3640454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sk-SK"/>
                  <a:t>v Eur
</a:t>
                </a:r>
              </a:p>
            </c:rich>
          </c:tx>
          <c:layout>
            <c:manualLayout>
              <c:xMode val="edge"/>
              <c:yMode val="edge"/>
              <c:x val="2.0452719653137282E-2"/>
              <c:y val="0.37955734465776048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17286553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ln w="3175">
            <a:solidFill>
              <a:srgbClr val="000000"/>
            </a:solidFill>
            <a:prstDash val="solid"/>
          </a:ln>
        </c:spPr>
        <c:txPr>
          <a:bodyPr/>
          <a:lstStyle/>
          <a:p>
            <a:pPr rtl="0">
              <a:defRPr sz="8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</c:dTable>
      <c:spPr>
        <a:noFill/>
        <a:ln w="3175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6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 sz="1175" b="1" i="0" u="none" strike="noStrike" baseline="0">
                <a:solidFill>
                  <a:srgbClr val="000000"/>
                </a:solidFill>
                <a:latin typeface="Arial CE"/>
                <a:cs typeface="Arial CE"/>
              </a:rPr>
              <a:t>Náklady a výnosy 2017 - 2018</a:t>
            </a: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 sz="1175" b="1" i="0" u="none" strike="noStrike" baseline="0">
              <a:solidFill>
                <a:srgbClr val="000000"/>
              </a:solidFill>
              <a:latin typeface="Arial CE"/>
              <a:cs typeface="Arial CE"/>
            </a:endParaRP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 sz="1175" b="1" i="0" u="none" strike="noStrike" baseline="0">
              <a:solidFill>
                <a:srgbClr val="000000"/>
              </a:solidFill>
              <a:latin typeface="Arial CE"/>
              <a:cs typeface="Arial CE"/>
            </a:endParaRP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 sz="1175" b="1" i="0" u="none" strike="noStrike" baseline="0">
              <a:solidFill>
                <a:srgbClr val="000000"/>
              </a:solidFill>
              <a:latin typeface="Arial CE"/>
              <a:cs typeface="Arial CE"/>
            </a:endParaRP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 sz="1175" b="1" i="0" u="none" strike="noStrike" baseline="0">
              <a:solidFill>
                <a:srgbClr val="000000"/>
              </a:solidFill>
              <a:latin typeface="Arial CE"/>
              <a:cs typeface="Arial CE"/>
            </a:endParaRPr>
          </a:p>
        </c:rich>
      </c:tx>
      <c:layout>
        <c:manualLayout>
          <c:xMode val="edge"/>
          <c:yMode val="edge"/>
          <c:x val="0.361962416792664"/>
          <c:y val="3.880717862296733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75068417255456E-2"/>
          <c:y val="0.21033248229301613"/>
          <c:w val="0.88154667137495091"/>
          <c:h val="0.535056314605040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Analyza!$A$102</c:f>
              <c:strCache>
                <c:ptCount val="1"/>
                <c:pt idx="0">
                  <c:v>Náklady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FF0000" mc:Ignorable="a14" a14:legacySpreadsheetColorIndex="10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trendline>
            <c:spPr>
              <a:ln w="12700">
                <a:solidFill>
                  <a:srgbClr val="FF0000"/>
                </a:solidFill>
                <a:prstDash val="solid"/>
              </a:ln>
            </c:spPr>
            <c:trendlineType val="poly"/>
            <c:order val="4"/>
            <c:dispRSqr val="0"/>
            <c:dispEq val="0"/>
          </c:trendline>
          <c:cat>
            <c:numRef>
              <c:f>Analyza!$B$101:$N$101</c:f>
              <c:numCache>
                <c:formatCode>mmm\-yy</c:formatCode>
                <c:ptCount val="13"/>
                <c:pt idx="0">
                  <c:v>42887</c:v>
                </c:pt>
                <c:pt idx="1">
                  <c:v>42917</c:v>
                </c:pt>
                <c:pt idx="2">
                  <c:v>42948</c:v>
                </c:pt>
                <c:pt idx="3">
                  <c:v>42979</c:v>
                </c:pt>
                <c:pt idx="4">
                  <c:v>43009</c:v>
                </c:pt>
                <c:pt idx="5">
                  <c:v>43040</c:v>
                </c:pt>
                <c:pt idx="6">
                  <c:v>43070</c:v>
                </c:pt>
                <c:pt idx="7">
                  <c:v>43101</c:v>
                </c:pt>
                <c:pt idx="8">
                  <c:v>43132</c:v>
                </c:pt>
                <c:pt idx="9">
                  <c:v>43160</c:v>
                </c:pt>
                <c:pt idx="10">
                  <c:v>43191</c:v>
                </c:pt>
                <c:pt idx="11">
                  <c:v>43221</c:v>
                </c:pt>
                <c:pt idx="12">
                  <c:v>43252</c:v>
                </c:pt>
              </c:numCache>
            </c:numRef>
          </c:cat>
          <c:val>
            <c:numRef>
              <c:f>Analyza!$B$102:$N$102</c:f>
              <c:numCache>
                <c:formatCode>#,##0</c:formatCode>
                <c:ptCount val="13"/>
                <c:pt idx="0">
                  <c:v>964494.36999999906</c:v>
                </c:pt>
                <c:pt idx="1">
                  <c:v>968075.1599999991</c:v>
                </c:pt>
                <c:pt idx="2">
                  <c:v>925967.00000000035</c:v>
                </c:pt>
                <c:pt idx="3">
                  <c:v>1037818.9100000028</c:v>
                </c:pt>
                <c:pt idx="4">
                  <c:v>999600.61999999813</c:v>
                </c:pt>
                <c:pt idx="5">
                  <c:v>1095927.2700000023</c:v>
                </c:pt>
                <c:pt idx="6">
                  <c:v>1135525.8999999994</c:v>
                </c:pt>
                <c:pt idx="7">
                  <c:v>993943.82999999973</c:v>
                </c:pt>
                <c:pt idx="8">
                  <c:v>1033157.89</c:v>
                </c:pt>
                <c:pt idx="9">
                  <c:v>1103081.1400000006</c:v>
                </c:pt>
                <c:pt idx="10">
                  <c:v>1108969.7699999996</c:v>
                </c:pt>
                <c:pt idx="11">
                  <c:v>1099356.1400000006</c:v>
                </c:pt>
                <c:pt idx="12">
                  <c:v>1083746.7000000002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FA6-4DA7-9357-C2B721B61E9A}"/>
            </c:ext>
          </c:extLst>
        </c:ser>
        <c:ser>
          <c:idx val="1"/>
          <c:order val="1"/>
          <c:tx>
            <c:strRef>
              <c:f>Analyza!$A$103</c:f>
              <c:strCache>
                <c:ptCount val="1"/>
                <c:pt idx="0">
                  <c:v>Výnosy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339966" mc:Ignorable="a14" a14:legacySpreadsheetColorIndex="57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trendline>
            <c:spPr>
              <a:ln w="12700">
                <a:solidFill>
                  <a:srgbClr val="99CC00"/>
                </a:solidFill>
                <a:prstDash val="solid"/>
              </a:ln>
            </c:spPr>
            <c:trendlineType val="poly"/>
            <c:order val="4"/>
            <c:dispRSqr val="0"/>
            <c:dispEq val="0"/>
          </c:trendline>
          <c:cat>
            <c:numRef>
              <c:f>Analyza!$B$101:$N$101</c:f>
              <c:numCache>
                <c:formatCode>mmm\-yy</c:formatCode>
                <c:ptCount val="13"/>
                <c:pt idx="0">
                  <c:v>42887</c:v>
                </c:pt>
                <c:pt idx="1">
                  <c:v>42917</c:v>
                </c:pt>
                <c:pt idx="2">
                  <c:v>42948</c:v>
                </c:pt>
                <c:pt idx="3">
                  <c:v>42979</c:v>
                </c:pt>
                <c:pt idx="4">
                  <c:v>43009</c:v>
                </c:pt>
                <c:pt idx="5">
                  <c:v>43040</c:v>
                </c:pt>
                <c:pt idx="6">
                  <c:v>43070</c:v>
                </c:pt>
                <c:pt idx="7">
                  <c:v>43101</c:v>
                </c:pt>
                <c:pt idx="8">
                  <c:v>43132</c:v>
                </c:pt>
                <c:pt idx="9">
                  <c:v>43160</c:v>
                </c:pt>
                <c:pt idx="10">
                  <c:v>43191</c:v>
                </c:pt>
                <c:pt idx="11">
                  <c:v>43221</c:v>
                </c:pt>
                <c:pt idx="12">
                  <c:v>43252</c:v>
                </c:pt>
              </c:numCache>
            </c:numRef>
          </c:cat>
          <c:val>
            <c:numRef>
              <c:f>Analyza!$B$103:$N$103</c:f>
              <c:numCache>
                <c:formatCode>#,##0</c:formatCode>
                <c:ptCount val="13"/>
                <c:pt idx="0">
                  <c:v>1060724.53</c:v>
                </c:pt>
                <c:pt idx="1">
                  <c:v>1053864.950000003</c:v>
                </c:pt>
                <c:pt idx="2">
                  <c:v>1047816.1499999976</c:v>
                </c:pt>
                <c:pt idx="3">
                  <c:v>1108746.8400000008</c:v>
                </c:pt>
                <c:pt idx="4">
                  <c:v>962711.81999999797</c:v>
                </c:pt>
                <c:pt idx="5">
                  <c:v>1071133.3500000029</c:v>
                </c:pt>
                <c:pt idx="6">
                  <c:v>1103028.7799999947</c:v>
                </c:pt>
                <c:pt idx="7">
                  <c:v>1139921.889999999</c:v>
                </c:pt>
                <c:pt idx="8">
                  <c:v>1076133.2300000007</c:v>
                </c:pt>
                <c:pt idx="9">
                  <c:v>1230390.3000000005</c:v>
                </c:pt>
                <c:pt idx="10">
                  <c:v>1123685.8000000005</c:v>
                </c:pt>
                <c:pt idx="11">
                  <c:v>1203726.820000001</c:v>
                </c:pt>
                <c:pt idx="12">
                  <c:v>1155810.3899999985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FA6-4DA7-9357-C2B721B61E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802560"/>
        <c:axId val="36406976"/>
      </c:barChart>
      <c:dateAx>
        <c:axId val="36802560"/>
        <c:scaling>
          <c:orientation val="minMax"/>
        </c:scaling>
        <c:delete val="0"/>
        <c:axPos val="b"/>
        <c:numFmt formatCode="mmm\-yy" sourceLinked="1"/>
        <c:majorTickMark val="none"/>
        <c:minorTickMark val="none"/>
        <c:tickLblPos val="none"/>
        <c:spPr>
          <a:ln w="9525">
            <a:noFill/>
          </a:ln>
        </c:spPr>
        <c:crossAx val="36406976"/>
        <c:crosses val="autoZero"/>
        <c:auto val="1"/>
        <c:lblOffset val="100"/>
        <c:baseTimeUnit val="months"/>
      </c:dateAx>
      <c:valAx>
        <c:axId val="36406976"/>
        <c:scaling>
          <c:orientation val="minMax"/>
          <c:max val="1300000"/>
          <c:min val="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sk-SK"/>
                  <a:t>v EUR
</a:t>
                </a:r>
              </a:p>
            </c:rich>
          </c:tx>
          <c:layout>
            <c:manualLayout>
              <c:xMode val="edge"/>
              <c:yMode val="edge"/>
              <c:x val="6.8295141411562951E-3"/>
              <c:y val="0.41195300771905358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36802560"/>
        <c:crosses val="autoZero"/>
        <c:crossBetween val="between"/>
        <c:majorUnit val="100000"/>
        <c:minorUnit val="100000"/>
      </c:valAx>
      <c:dTable>
        <c:showHorzBorder val="1"/>
        <c:showVertBorder val="1"/>
        <c:showOutline val="1"/>
        <c:showKeys val="1"/>
        <c:spPr>
          <a:ln w="3175">
            <a:solidFill>
              <a:srgbClr val="000000"/>
            </a:solidFill>
            <a:prstDash val="solid"/>
          </a:ln>
        </c:spPr>
        <c:txPr>
          <a:bodyPr/>
          <a:lstStyle/>
          <a:p>
            <a:pPr rtl="0">
              <a:defRPr sz="6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</c:dTable>
      <c:spPr>
        <a:noFill/>
        <a:ln w="12700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/>
              <a:t>Náklady 2017 / plán / 2018
</a:t>
            </a:r>
          </a:p>
        </c:rich>
      </c:tx>
      <c:layout>
        <c:manualLayout>
          <c:xMode val="edge"/>
          <c:yMode val="edge"/>
          <c:x val="0.35336787893948962"/>
          <c:y val="3.8576716371991962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6036320469341309"/>
          <c:y val="0.17216178801005899"/>
          <c:w val="0.82148320894833304"/>
          <c:h val="0.487181229900805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Analyza!$B$45</c:f>
              <c:strCache>
                <c:ptCount val="1"/>
                <c:pt idx="0">
                  <c:v> 30.06.2017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FFCC99" mc:Ignorable="a14" a14:legacySpreadsheetColorIndex="47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Analyza!$A$46:$A$50</c:f>
              <c:strCache>
                <c:ptCount val="5"/>
                <c:pt idx="0">
                  <c:v>Lieky, ŠZM, Tr.L</c:v>
                </c:pt>
                <c:pt idx="1">
                  <c:v>Osobné náklady</c:v>
                </c:pt>
                <c:pt idx="2">
                  <c:v>Prevádzka</c:v>
                </c:pt>
                <c:pt idx="3">
                  <c:v>Energie</c:v>
                </c:pt>
                <c:pt idx="4">
                  <c:v>Odpisy</c:v>
                </c:pt>
              </c:strCache>
            </c:strRef>
          </c:cat>
          <c:val>
            <c:numRef>
              <c:f>Analyza!$B$46:$B$50</c:f>
              <c:numCache>
                <c:formatCode>#,##0</c:formatCode>
                <c:ptCount val="5"/>
                <c:pt idx="0">
                  <c:v>826842.06</c:v>
                </c:pt>
                <c:pt idx="1">
                  <c:v>3968286.0599999987</c:v>
                </c:pt>
                <c:pt idx="2">
                  <c:v>577125.0499999997</c:v>
                </c:pt>
                <c:pt idx="3">
                  <c:v>146958.91000000003</c:v>
                </c:pt>
                <c:pt idx="4">
                  <c:v>237709.46999999997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E39-4B79-8AA6-E91B05517764}"/>
            </c:ext>
          </c:extLst>
        </c:ser>
        <c:ser>
          <c:idx val="1"/>
          <c:order val="1"/>
          <c:tx>
            <c:strRef>
              <c:f>Analyza!$C$45</c:f>
              <c:strCache>
                <c:ptCount val="1"/>
                <c:pt idx="0">
                  <c:v>plán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CCFFCC" mc:Ignorable="a14" a14:legacySpreadsheetColorIndex="42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Analyza!$A$46:$A$50</c:f>
              <c:strCache>
                <c:ptCount val="5"/>
                <c:pt idx="0">
                  <c:v>Lieky, ŠZM, Tr.L</c:v>
                </c:pt>
                <c:pt idx="1">
                  <c:v>Osobné náklady</c:v>
                </c:pt>
                <c:pt idx="2">
                  <c:v>Prevádzka</c:v>
                </c:pt>
                <c:pt idx="3">
                  <c:v>Energie</c:v>
                </c:pt>
                <c:pt idx="4">
                  <c:v>Odpisy</c:v>
                </c:pt>
              </c:strCache>
            </c:strRef>
          </c:cat>
          <c:val>
            <c:numRef>
              <c:f>Analyza!$C$46:$C$50</c:f>
              <c:numCache>
                <c:formatCode>#,##0</c:formatCode>
                <c:ptCount val="5"/>
                <c:pt idx="0">
                  <c:v>863880</c:v>
                </c:pt>
                <c:pt idx="1">
                  <c:v>4398169.76</c:v>
                </c:pt>
                <c:pt idx="2">
                  <c:v>619985</c:v>
                </c:pt>
                <c:pt idx="3">
                  <c:v>146046</c:v>
                </c:pt>
                <c:pt idx="4">
                  <c:v>265800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E39-4B79-8AA6-E91B05517764}"/>
            </c:ext>
          </c:extLst>
        </c:ser>
        <c:ser>
          <c:idx val="2"/>
          <c:order val="2"/>
          <c:tx>
            <c:strRef>
              <c:f>Analyza!$D$45</c:f>
              <c:strCache>
                <c:ptCount val="1"/>
                <c:pt idx="0">
                  <c:v>30.06.2018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339966" mc:Ignorable="a14" a14:legacySpreadsheetColorIndex="57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Analyza!$A$46:$A$50</c:f>
              <c:strCache>
                <c:ptCount val="5"/>
                <c:pt idx="0">
                  <c:v>Lieky, ŠZM, Tr.L</c:v>
                </c:pt>
                <c:pt idx="1">
                  <c:v>Osobné náklady</c:v>
                </c:pt>
                <c:pt idx="2">
                  <c:v>Prevádzka</c:v>
                </c:pt>
                <c:pt idx="3">
                  <c:v>Energie</c:v>
                </c:pt>
                <c:pt idx="4">
                  <c:v>Odpisy</c:v>
                </c:pt>
              </c:strCache>
            </c:strRef>
          </c:cat>
          <c:val>
            <c:numRef>
              <c:f>Analyza!$D$46:$D$50</c:f>
              <c:numCache>
                <c:formatCode>#,##0</c:formatCode>
                <c:ptCount val="5"/>
                <c:pt idx="0">
                  <c:v>946382.8600000001</c:v>
                </c:pt>
                <c:pt idx="1">
                  <c:v>4393850.24</c:v>
                </c:pt>
                <c:pt idx="2">
                  <c:v>684084.51000000024</c:v>
                </c:pt>
                <c:pt idx="3">
                  <c:v>135617.61000000002</c:v>
                </c:pt>
                <c:pt idx="4">
                  <c:v>262320.24999999994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E39-4B79-8AA6-E91B055177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4099072"/>
        <c:axId val="36408128"/>
      </c:barChart>
      <c:catAx>
        <c:axId val="124099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FFFF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36408128"/>
        <c:crosses val="autoZero"/>
        <c:auto val="1"/>
        <c:lblAlgn val="ctr"/>
        <c:lblOffset val="100"/>
        <c:tickMarkSkip val="1"/>
        <c:noMultiLvlLbl val="0"/>
      </c:catAx>
      <c:valAx>
        <c:axId val="3640812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85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sk-SK"/>
                  <a:t>v Eur
</a:t>
                </a:r>
              </a:p>
            </c:rich>
          </c:tx>
          <c:layout>
            <c:manualLayout>
              <c:xMode val="edge"/>
              <c:yMode val="edge"/>
              <c:x val="8.2453611604147055E-3"/>
              <c:y val="0.35906165575456916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12409907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ln w="3175">
            <a:solidFill>
              <a:srgbClr val="000000"/>
            </a:solidFill>
            <a:prstDash val="solid"/>
          </a:ln>
        </c:spPr>
        <c:txPr>
          <a:bodyPr/>
          <a:lstStyle/>
          <a:p>
            <a:pPr rtl="0">
              <a:defRPr sz="8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</c:dTable>
      <c:spPr>
        <a:noFill/>
        <a:ln w="12700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/>
              <a:t>Záväzky / Pohľadávky 2017 - 2018
</a:t>
            </a:r>
          </a:p>
        </c:rich>
      </c:tx>
      <c:layout>
        <c:manualLayout>
          <c:xMode val="edge"/>
          <c:yMode val="edge"/>
          <c:x val="0.34089714856171949"/>
          <c:y val="3.869152385363594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098236775818639"/>
          <c:y val="0.16911764705882354"/>
          <c:w val="0.85264483627204035"/>
          <c:h val="0.5882352941176470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Analyza!$A$126</c:f>
              <c:strCache>
                <c:ptCount val="1"/>
                <c:pt idx="0">
                  <c:v>Záväzky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FF0000" mc:Ignorable="a14" a14:legacySpreadsheetColorIndex="10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trendline>
            <c:spPr>
              <a:ln w="12700">
                <a:solidFill>
                  <a:srgbClr val="FF0000"/>
                </a:solidFill>
                <a:prstDash val="solid"/>
              </a:ln>
            </c:spPr>
            <c:trendlineType val="poly"/>
            <c:order val="5"/>
            <c:dispRSqr val="0"/>
            <c:dispEq val="0"/>
          </c:trendline>
          <c:cat>
            <c:numRef>
              <c:f>Analyza!$B$125:$N$125</c:f>
              <c:numCache>
                <c:formatCode>mmm\-yy</c:formatCode>
                <c:ptCount val="13"/>
                <c:pt idx="0">
                  <c:v>42887</c:v>
                </c:pt>
                <c:pt idx="1">
                  <c:v>42917</c:v>
                </c:pt>
                <c:pt idx="2">
                  <c:v>42948</c:v>
                </c:pt>
                <c:pt idx="3">
                  <c:v>42979</c:v>
                </c:pt>
                <c:pt idx="4">
                  <c:v>43009</c:v>
                </c:pt>
                <c:pt idx="5">
                  <c:v>43040</c:v>
                </c:pt>
                <c:pt idx="6">
                  <c:v>43070</c:v>
                </c:pt>
                <c:pt idx="7">
                  <c:v>43101</c:v>
                </c:pt>
                <c:pt idx="8">
                  <c:v>43132</c:v>
                </c:pt>
                <c:pt idx="9">
                  <c:v>43160</c:v>
                </c:pt>
                <c:pt idx="10">
                  <c:v>43191</c:v>
                </c:pt>
                <c:pt idx="11">
                  <c:v>43221</c:v>
                </c:pt>
                <c:pt idx="12">
                  <c:v>43252</c:v>
                </c:pt>
              </c:numCache>
            </c:numRef>
          </c:cat>
          <c:val>
            <c:numRef>
              <c:f>Analyza!$B$126:$N$126</c:f>
              <c:numCache>
                <c:formatCode>#,##0</c:formatCode>
                <c:ptCount val="13"/>
                <c:pt idx="0">
                  <c:v>2061511</c:v>
                </c:pt>
                <c:pt idx="1">
                  <c:v>2079872</c:v>
                </c:pt>
                <c:pt idx="2">
                  <c:v>2053853</c:v>
                </c:pt>
                <c:pt idx="3">
                  <c:v>2103087</c:v>
                </c:pt>
                <c:pt idx="4">
                  <c:v>2078103</c:v>
                </c:pt>
                <c:pt idx="5" formatCode="#,##0.00">
                  <c:v>2214845</c:v>
                </c:pt>
                <c:pt idx="6">
                  <c:v>2178758</c:v>
                </c:pt>
                <c:pt idx="7">
                  <c:v>2000503</c:v>
                </c:pt>
                <c:pt idx="8">
                  <c:v>1934882</c:v>
                </c:pt>
                <c:pt idx="9">
                  <c:v>1997498</c:v>
                </c:pt>
                <c:pt idx="10">
                  <c:v>2034691</c:v>
                </c:pt>
                <c:pt idx="11">
                  <c:v>2019146</c:v>
                </c:pt>
                <c:pt idx="12">
                  <c:v>1935662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8F8-417C-8E38-03E87319CAA4}"/>
            </c:ext>
          </c:extLst>
        </c:ser>
        <c:ser>
          <c:idx val="1"/>
          <c:order val="1"/>
          <c:tx>
            <c:strRef>
              <c:f>Analyza!$A$397</c:f>
              <c:strCache>
                <c:ptCount val="1"/>
                <c:pt idx="0">
                  <c:v>Pohľadávky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008000" mc:Ignorable="a14" a14:legacySpreadsheetColorIndex="17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trendline>
            <c:spPr>
              <a:ln w="12700">
                <a:solidFill>
                  <a:srgbClr val="008000"/>
                </a:solidFill>
                <a:prstDash val="solid"/>
              </a:ln>
            </c:spPr>
            <c:trendlineType val="poly"/>
            <c:order val="2"/>
            <c:dispRSqr val="0"/>
            <c:dispEq val="0"/>
          </c:trendline>
          <c:val>
            <c:numRef>
              <c:f>Analyza!$B$397:$N$397</c:f>
              <c:numCache>
                <c:formatCode>#,##0</c:formatCode>
                <c:ptCount val="13"/>
                <c:pt idx="0">
                  <c:v>2033178</c:v>
                </c:pt>
                <c:pt idx="1">
                  <c:v>1877741</c:v>
                </c:pt>
                <c:pt idx="2">
                  <c:v>1901876</c:v>
                </c:pt>
                <c:pt idx="3">
                  <c:v>1163193</c:v>
                </c:pt>
                <c:pt idx="4">
                  <c:v>1836621</c:v>
                </c:pt>
                <c:pt idx="5">
                  <c:v>2082842</c:v>
                </c:pt>
                <c:pt idx="6">
                  <c:v>1885010</c:v>
                </c:pt>
                <c:pt idx="7">
                  <c:v>1176927</c:v>
                </c:pt>
                <c:pt idx="8">
                  <c:v>1998485</c:v>
                </c:pt>
                <c:pt idx="9">
                  <c:v>1306555</c:v>
                </c:pt>
                <c:pt idx="10">
                  <c:v>1201927</c:v>
                </c:pt>
                <c:pt idx="11">
                  <c:v>1256582</c:v>
                </c:pt>
                <c:pt idx="12">
                  <c:v>1218982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8F8-417C-8E38-03E87319CA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4099584"/>
        <c:axId val="36410432"/>
      </c:barChart>
      <c:dateAx>
        <c:axId val="124099584"/>
        <c:scaling>
          <c:orientation val="minMax"/>
        </c:scaling>
        <c:delete val="0"/>
        <c:axPos val="b"/>
        <c:numFmt formatCode="mmm\-yy" sourceLinked="1"/>
        <c:majorTickMark val="none"/>
        <c:minorTickMark val="none"/>
        <c:tickLblPos val="none"/>
        <c:spPr>
          <a:ln w="9525">
            <a:noFill/>
          </a:ln>
        </c:spPr>
        <c:crossAx val="36410432"/>
        <c:crosses val="autoZero"/>
        <c:auto val="1"/>
        <c:lblOffset val="100"/>
        <c:baseTimeUnit val="months"/>
      </c:dateAx>
      <c:valAx>
        <c:axId val="36410432"/>
        <c:scaling>
          <c:orientation val="minMax"/>
          <c:min val="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1125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sk-SK"/>
                  <a:t>v EUR
</a:t>
                </a:r>
              </a:p>
            </c:rich>
          </c:tx>
          <c:layout>
            <c:manualLayout>
              <c:xMode val="edge"/>
              <c:yMode val="edge"/>
              <c:x val="6.8967386633345899E-3"/>
              <c:y val="0.36013046163347229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12409958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ln w="3175">
            <a:solidFill>
              <a:srgbClr val="000000"/>
            </a:solidFill>
            <a:prstDash val="solid"/>
          </a:ln>
        </c:spPr>
        <c:txPr>
          <a:bodyPr/>
          <a:lstStyle/>
          <a:p>
            <a:pPr rtl="0">
              <a:defRPr sz="5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</c:dTable>
      <c:spPr>
        <a:noFill/>
        <a:ln w="12700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 sz="1200" b="1" i="0" u="none" strike="noStrike" baseline="0">
                <a:solidFill>
                  <a:srgbClr val="000000"/>
                </a:solidFill>
                <a:latin typeface="Arial CE"/>
                <a:cs typeface="Arial CE"/>
              </a:rPr>
              <a:t>Pohľadávky 2017- 2018</a:t>
            </a: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 sz="1200" b="0" i="0" u="none" strike="noStrike" baseline="0">
              <a:solidFill>
                <a:srgbClr val="000000"/>
              </a:solidFill>
              <a:latin typeface="Arial CE"/>
              <a:cs typeface="Arial CE"/>
            </a:endParaRP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 sz="1200" b="1" i="0" u="none" strike="noStrike" baseline="0">
                <a:solidFill>
                  <a:srgbClr val="000000"/>
                </a:solidFill>
                <a:latin typeface="Arial CE"/>
                <a:cs typeface="Arial CE"/>
              </a:rPr>
              <a:t> </a:t>
            </a: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 sz="1200" b="1" i="0" u="none" strike="noStrike" baseline="0">
              <a:solidFill>
                <a:srgbClr val="000000"/>
              </a:solidFill>
              <a:latin typeface="Arial CE"/>
              <a:cs typeface="Arial CE"/>
            </a:endParaRP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 sz="1200" b="1" i="0" u="none" strike="noStrike" baseline="0">
              <a:solidFill>
                <a:srgbClr val="000000"/>
              </a:solidFill>
              <a:latin typeface="Arial CE"/>
              <a:cs typeface="Arial CE"/>
            </a:endParaRP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 sz="1200" b="1" i="0" u="none" strike="noStrike" baseline="0">
              <a:solidFill>
                <a:srgbClr val="000000"/>
              </a:solidFill>
              <a:latin typeface="Arial CE"/>
              <a:cs typeface="Arial CE"/>
            </a:endParaRPr>
          </a:p>
        </c:rich>
      </c:tx>
      <c:layout>
        <c:manualLayout>
          <c:xMode val="edge"/>
          <c:yMode val="edge"/>
          <c:x val="0.41360856622481934"/>
          <c:y val="3.6415551862245592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8.1761089984082214E-2"/>
          <c:y val="0.25605579594202116"/>
          <c:w val="0.87421473136826378"/>
          <c:h val="0.484429884214634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Analyza!$A$397</c:f>
              <c:strCache>
                <c:ptCount val="1"/>
                <c:pt idx="0">
                  <c:v>Pohľadávky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008000" mc:Ignorable="a14" a14:legacySpreadsheetColorIndex="17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trendline>
            <c:spPr>
              <a:ln w="12700">
                <a:solidFill>
                  <a:srgbClr val="008000"/>
                </a:solidFill>
                <a:prstDash val="solid"/>
              </a:ln>
            </c:spPr>
            <c:trendlineType val="poly"/>
            <c:order val="5"/>
            <c:dispRSqr val="0"/>
            <c:dispEq val="0"/>
          </c:trendline>
          <c:cat>
            <c:numRef>
              <c:f>Analyza!$B$396:$N$396</c:f>
              <c:numCache>
                <c:formatCode>mmm\-yy</c:formatCode>
                <c:ptCount val="13"/>
                <c:pt idx="0">
                  <c:v>42887</c:v>
                </c:pt>
                <c:pt idx="1">
                  <c:v>42917</c:v>
                </c:pt>
                <c:pt idx="2">
                  <c:v>42948</c:v>
                </c:pt>
                <c:pt idx="3">
                  <c:v>42979</c:v>
                </c:pt>
                <c:pt idx="4">
                  <c:v>43009</c:v>
                </c:pt>
                <c:pt idx="5">
                  <c:v>43040</c:v>
                </c:pt>
                <c:pt idx="6">
                  <c:v>43070</c:v>
                </c:pt>
                <c:pt idx="7">
                  <c:v>43101</c:v>
                </c:pt>
                <c:pt idx="8">
                  <c:v>43132</c:v>
                </c:pt>
                <c:pt idx="9">
                  <c:v>43160</c:v>
                </c:pt>
                <c:pt idx="10">
                  <c:v>43191</c:v>
                </c:pt>
                <c:pt idx="11">
                  <c:v>43221</c:v>
                </c:pt>
                <c:pt idx="12">
                  <c:v>43252</c:v>
                </c:pt>
              </c:numCache>
            </c:numRef>
          </c:cat>
          <c:val>
            <c:numRef>
              <c:f>Analyza!$B$397:$N$397</c:f>
              <c:numCache>
                <c:formatCode>#,##0</c:formatCode>
                <c:ptCount val="13"/>
                <c:pt idx="0">
                  <c:v>2033178</c:v>
                </c:pt>
                <c:pt idx="1">
                  <c:v>1877741</c:v>
                </c:pt>
                <c:pt idx="2">
                  <c:v>1901876</c:v>
                </c:pt>
                <c:pt idx="3">
                  <c:v>1163193</c:v>
                </c:pt>
                <c:pt idx="4">
                  <c:v>1836621</c:v>
                </c:pt>
                <c:pt idx="5">
                  <c:v>2082842</c:v>
                </c:pt>
                <c:pt idx="6">
                  <c:v>1885010</c:v>
                </c:pt>
                <c:pt idx="7">
                  <c:v>1176927</c:v>
                </c:pt>
                <c:pt idx="8">
                  <c:v>1998485</c:v>
                </c:pt>
                <c:pt idx="9">
                  <c:v>1306555</c:v>
                </c:pt>
                <c:pt idx="10">
                  <c:v>1201927</c:v>
                </c:pt>
                <c:pt idx="11">
                  <c:v>1256582</c:v>
                </c:pt>
                <c:pt idx="12">
                  <c:v>1218982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618-490D-8991-C36AFC133C50}"/>
            </c:ext>
          </c:extLst>
        </c:ser>
        <c:ser>
          <c:idx val="1"/>
          <c:order val="1"/>
          <c:tx>
            <c:strRef>
              <c:f>Analyza!$A$399</c:f>
              <c:strCache>
                <c:ptCount val="1"/>
                <c:pt idx="0">
                  <c:v>Pohľadávky ZP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CCFFCC" mc:Ignorable="a14" a14:legacySpreadsheetColorIndex="42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val>
            <c:numRef>
              <c:f>Analyza!$B$399:$N$399</c:f>
              <c:numCache>
                <c:formatCode>#,##0</c:formatCode>
                <c:ptCount val="13"/>
                <c:pt idx="0">
                  <c:v>1961795</c:v>
                </c:pt>
                <c:pt idx="1">
                  <c:v>1798962</c:v>
                </c:pt>
                <c:pt idx="2">
                  <c:v>1837547</c:v>
                </c:pt>
                <c:pt idx="3">
                  <c:v>1096280</c:v>
                </c:pt>
                <c:pt idx="4">
                  <c:v>1766781</c:v>
                </c:pt>
                <c:pt idx="5">
                  <c:v>1980281</c:v>
                </c:pt>
                <c:pt idx="6">
                  <c:v>1820937</c:v>
                </c:pt>
                <c:pt idx="7">
                  <c:v>1103131</c:v>
                </c:pt>
                <c:pt idx="8">
                  <c:v>1927010</c:v>
                </c:pt>
                <c:pt idx="9">
                  <c:v>1237729</c:v>
                </c:pt>
                <c:pt idx="10">
                  <c:v>1136209</c:v>
                </c:pt>
                <c:pt idx="11">
                  <c:v>1188374</c:v>
                </c:pt>
                <c:pt idx="12">
                  <c:v>1138355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618-490D-8991-C36AFC133C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8556672"/>
        <c:axId val="36412160"/>
      </c:barChart>
      <c:dateAx>
        <c:axId val="38556672"/>
        <c:scaling>
          <c:orientation val="minMax"/>
        </c:scaling>
        <c:delete val="0"/>
        <c:axPos val="b"/>
        <c:numFmt formatCode="mmm\-yy" sourceLinked="1"/>
        <c:majorTickMark val="none"/>
        <c:minorTickMark val="none"/>
        <c:tickLblPos val="none"/>
        <c:spPr>
          <a:ln w="9525">
            <a:noFill/>
          </a:ln>
        </c:spPr>
        <c:crossAx val="36412160"/>
        <c:crosses val="autoZero"/>
        <c:auto val="1"/>
        <c:lblOffset val="100"/>
        <c:baseTimeUnit val="months"/>
      </c:dateAx>
      <c:valAx>
        <c:axId val="3641216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825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sk-SK"/>
                  <a:t>v EUR
</a:t>
                </a:r>
              </a:p>
            </c:rich>
          </c:tx>
          <c:layout>
            <c:manualLayout>
              <c:xMode val="edge"/>
              <c:yMode val="edge"/>
              <c:x val="5.7331198380076711E-3"/>
              <c:y val="0.44259197704093217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3855667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ln w="3175">
            <a:solidFill>
              <a:srgbClr val="000000"/>
            </a:solidFill>
            <a:prstDash val="solid"/>
          </a:ln>
        </c:spPr>
        <c:txPr>
          <a:bodyPr/>
          <a:lstStyle/>
          <a:p>
            <a:pPr rtl="0">
              <a:defRPr sz="6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</c:dTable>
      <c:spPr>
        <a:noFill/>
        <a:ln w="12700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4E5DF-7FC7-4F79-939D-E4EF47576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17</Pages>
  <Words>4015</Words>
  <Characters>22886</Characters>
  <Application>Microsoft Office Word</Application>
  <DocSecurity>0</DocSecurity>
  <Lines>190</Lines>
  <Paragraphs>53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NEMOCNICA S POLIKLINIKOU   STARÁ ĽUBOVŇA</vt:lpstr>
      <vt:lpstr>NEMOCNICA S POLIKLINIKOU   STARÁ ĽUBOVŇA</vt:lpstr>
    </vt:vector>
  </TitlesOfParts>
  <Company/>
  <LinksUpToDate>false</LinksUpToDate>
  <CharactersWithSpaces>26848</CharactersWithSpaces>
  <SharedDoc>false</SharedDoc>
  <HLinks>
    <vt:vector size="6" baseType="variant">
      <vt:variant>
        <vt:i4>6422612</vt:i4>
      </vt:variant>
      <vt:variant>
        <vt:i4>0</vt:i4>
      </vt:variant>
      <vt:variant>
        <vt:i4>0</vt:i4>
      </vt:variant>
      <vt:variant>
        <vt:i4>5</vt:i4>
      </vt:variant>
      <vt:variant>
        <vt:lpwstr>mailto:sekretariat@nspsl.sk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NEMOCNICA S POLIKLINIKOU   STARÁ ĽUBOVŇA</dc:title>
  <dc:creator>Mede European Consultancy</dc:creator>
  <cp:lastModifiedBy>Jaroslav Marincin</cp:lastModifiedBy>
  <cp:revision>35</cp:revision>
  <cp:lastPrinted>2018-09-05T10:55:00Z</cp:lastPrinted>
  <dcterms:created xsi:type="dcterms:W3CDTF">2018-09-05T08:48:00Z</dcterms:created>
  <dcterms:modified xsi:type="dcterms:W3CDTF">2018-09-05T17:29:00Z</dcterms:modified>
</cp:coreProperties>
</file>