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E3" w:rsidRDefault="009F15E3" w:rsidP="009F15E3">
      <w:pPr>
        <w:pStyle w:val="Odsekzoznamu1"/>
        <w:overflowPunct w:val="0"/>
        <w:autoSpaceDE w:val="0"/>
        <w:ind w:left="0"/>
        <w:jc w:val="center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1.85pt;margin-top:8.8pt;width:51.4pt;height:67.7pt;z-index:251659264;visibility:visible;mso-wrap-edited:f" fillcolor="window">
            <v:imagedata r:id="rId9" o:title="" blacklevel="3932f"/>
          </v:shape>
          <o:OLEObject Type="Embed" ProgID="Word.Picture.8" ShapeID="_x0000_s1026" DrawAspect="Content" ObjectID="_1612162882" r:id="rId10"/>
        </w:pict>
      </w:r>
    </w:p>
    <w:p w:rsidR="009F15E3" w:rsidRDefault="009F15E3" w:rsidP="009F15E3">
      <w:pPr>
        <w:pStyle w:val="Odsekzoznamu1"/>
        <w:overflowPunct w:val="0"/>
        <w:autoSpaceDE w:val="0"/>
        <w:ind w:left="0"/>
        <w:jc w:val="center"/>
      </w:pPr>
    </w:p>
    <w:p w:rsidR="009F15E3" w:rsidRDefault="009F15E3" w:rsidP="009F15E3">
      <w:pPr>
        <w:pStyle w:val="Odsekzoznamu1"/>
        <w:overflowPunct w:val="0"/>
        <w:autoSpaceDE w:val="0"/>
        <w:ind w:left="0"/>
        <w:jc w:val="center"/>
      </w:pPr>
    </w:p>
    <w:p w:rsidR="009F15E3" w:rsidRDefault="009F15E3" w:rsidP="009F15E3">
      <w:pPr>
        <w:pStyle w:val="Odsekzoznamu1"/>
        <w:overflowPunct w:val="0"/>
        <w:autoSpaceDE w:val="0"/>
        <w:ind w:left="0"/>
        <w:jc w:val="center"/>
      </w:pPr>
    </w:p>
    <w:p w:rsidR="009F15E3" w:rsidRDefault="009F15E3" w:rsidP="009F15E3">
      <w:pPr>
        <w:pStyle w:val="Odsekzoznamu1"/>
        <w:overflowPunct w:val="0"/>
        <w:autoSpaceDE w:val="0"/>
        <w:ind w:left="0"/>
        <w:jc w:val="center"/>
      </w:pPr>
    </w:p>
    <w:p w:rsidR="009F15E3" w:rsidRDefault="009F15E3" w:rsidP="009F15E3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F15E3" w:rsidRPr="00D058FB" w:rsidRDefault="009F15E3" w:rsidP="009F15E3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D058FB">
        <w:rPr>
          <w:b/>
          <w:bCs/>
          <w:snapToGrid w:val="0"/>
          <w:sz w:val="40"/>
          <w:szCs w:val="40"/>
        </w:rPr>
        <w:t>MESTO STARÁ ĽUBOVŇA</w:t>
      </w:r>
    </w:p>
    <w:p w:rsidR="009F15E3" w:rsidRPr="00FA11A1" w:rsidRDefault="009F15E3" w:rsidP="009F15E3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9F15E3" w:rsidRPr="00FA11A1" w:rsidRDefault="009F15E3" w:rsidP="009F15E3">
      <w:pPr>
        <w:autoSpaceDE w:val="0"/>
        <w:autoSpaceDN w:val="0"/>
        <w:jc w:val="center"/>
        <w:rPr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F15E3" w:rsidRDefault="009F15E3" w:rsidP="009F15E3">
      <w:pPr>
        <w:autoSpaceDE w:val="0"/>
        <w:autoSpaceDN w:val="0"/>
        <w:ind w:left="3540" w:firstLine="708"/>
        <w:jc w:val="center"/>
        <w:rPr>
          <w:bCs/>
          <w:i/>
        </w:rPr>
      </w:pPr>
    </w:p>
    <w:p w:rsidR="009F15E3" w:rsidRDefault="009F15E3" w:rsidP="009F15E3">
      <w:pPr>
        <w:autoSpaceDE w:val="0"/>
        <w:autoSpaceDN w:val="0"/>
        <w:ind w:left="3540" w:firstLine="708"/>
        <w:jc w:val="both"/>
        <w:rPr>
          <w:bCs/>
          <w:i/>
        </w:rPr>
      </w:pPr>
    </w:p>
    <w:p w:rsidR="009F15E3" w:rsidRDefault="009F15E3" w:rsidP="009F15E3">
      <w:pPr>
        <w:autoSpaceDE w:val="0"/>
        <w:autoSpaceDN w:val="0"/>
        <w:jc w:val="both"/>
        <w:rPr>
          <w:b/>
          <w:bCs/>
          <w:snapToGrid w:val="0"/>
          <w:sz w:val="28"/>
          <w:szCs w:val="28"/>
        </w:rPr>
      </w:pPr>
    </w:p>
    <w:p w:rsidR="009F15E3" w:rsidRPr="006F6CF1" w:rsidRDefault="009F15E3" w:rsidP="009F15E3">
      <w:pPr>
        <w:autoSpaceDE w:val="0"/>
        <w:autoSpaceDN w:val="0"/>
        <w:rPr>
          <w:b/>
          <w:bCs/>
        </w:rPr>
      </w:pPr>
      <w:r w:rsidRPr="006F6CF1">
        <w:rPr>
          <w:b/>
          <w:bCs/>
        </w:rPr>
        <w:t xml:space="preserve">Materiál na rokovanie </w:t>
      </w:r>
      <w:r>
        <w:rPr>
          <w:b/>
          <w:bCs/>
        </w:rPr>
        <w:t xml:space="preserve">Mestského zastupiteľstva </w:t>
      </w:r>
      <w:r w:rsidRPr="00FF053C">
        <w:rPr>
          <w:b/>
          <w:bCs/>
        </w:rPr>
        <w:t xml:space="preserve"> </w:t>
      </w:r>
      <w:r w:rsidRPr="006F6CF1">
        <w:rPr>
          <w:b/>
          <w:bCs/>
        </w:rPr>
        <w:t>v Starej Ľubovni</w:t>
      </w:r>
    </w:p>
    <w:p w:rsidR="009F15E3" w:rsidRDefault="009F15E3" w:rsidP="009F15E3">
      <w:pPr>
        <w:autoSpaceDE w:val="0"/>
        <w:autoSpaceDN w:val="0"/>
        <w:jc w:val="both"/>
        <w:rPr>
          <w:b/>
          <w:bCs/>
        </w:rPr>
      </w:pPr>
    </w:p>
    <w:p w:rsidR="009F15E3" w:rsidRPr="00797D46" w:rsidRDefault="009F15E3" w:rsidP="009F15E3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Číslo: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IV/2019</w:t>
      </w:r>
    </w:p>
    <w:p w:rsidR="009F15E3" w:rsidRPr="005F67E3" w:rsidRDefault="009F15E3" w:rsidP="009F15E3">
      <w:pPr>
        <w:autoSpaceDE w:val="0"/>
        <w:autoSpaceDN w:val="0"/>
        <w:jc w:val="both"/>
        <w:rPr>
          <w:bCs/>
          <w:color w:val="00B050"/>
        </w:rPr>
      </w:pPr>
      <w:r w:rsidRPr="00797D46">
        <w:rPr>
          <w:b/>
          <w:bCs/>
        </w:rPr>
        <w:t>Dňa:</w:t>
      </w:r>
      <w:r w:rsidRPr="00797D46">
        <w:rPr>
          <w:b/>
          <w:bCs/>
        </w:rPr>
        <w:tab/>
      </w:r>
      <w:r w:rsidRPr="00797D46">
        <w:rPr>
          <w:b/>
          <w:bCs/>
        </w:rPr>
        <w:tab/>
      </w:r>
      <w:r w:rsidRPr="00797D46">
        <w:rPr>
          <w:b/>
          <w:bCs/>
        </w:rPr>
        <w:tab/>
      </w:r>
      <w:r w:rsidRPr="00797D46">
        <w:rPr>
          <w:b/>
          <w:bCs/>
        </w:rPr>
        <w:tab/>
      </w:r>
      <w:r w:rsidRPr="00797D46">
        <w:rPr>
          <w:b/>
          <w:bCs/>
        </w:rPr>
        <w:tab/>
      </w:r>
      <w:r>
        <w:rPr>
          <w:b/>
          <w:bCs/>
        </w:rPr>
        <w:t>28.02.2019</w:t>
      </w:r>
    </w:p>
    <w:p w:rsidR="009F15E3" w:rsidRPr="00F41FE7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</w:rPr>
      </w:pPr>
    </w:p>
    <w:p w:rsidR="009F15E3" w:rsidRDefault="009F15E3" w:rsidP="009F15E3">
      <w:pPr>
        <w:autoSpaceDE w:val="0"/>
        <w:autoSpaceDN w:val="0"/>
        <w:rPr>
          <w:b/>
        </w:rPr>
      </w:pPr>
    </w:p>
    <w:p w:rsidR="009F15E3" w:rsidRDefault="009F15E3" w:rsidP="009F15E3">
      <w:pPr>
        <w:autoSpaceDE w:val="0"/>
        <w:autoSpaceDN w:val="0"/>
        <w:rPr>
          <w:b/>
        </w:rPr>
      </w:pPr>
    </w:p>
    <w:p w:rsidR="009F15E3" w:rsidRPr="002824D2" w:rsidRDefault="009F15E3" w:rsidP="009F15E3">
      <w:pPr>
        <w:autoSpaceDE w:val="0"/>
        <w:autoSpaceDN w:val="0"/>
        <w:rPr>
          <w:sz w:val="28"/>
          <w:szCs w:val="28"/>
        </w:rPr>
      </w:pPr>
      <w:r w:rsidRPr="005F67E3">
        <w:rPr>
          <w:b/>
        </w:rPr>
        <w:t xml:space="preserve">K bodu </w:t>
      </w:r>
      <w:r>
        <w:rPr>
          <w:b/>
        </w:rPr>
        <w:t>programu:</w:t>
      </w:r>
      <w:r w:rsidRPr="005F67E3">
        <w:rPr>
          <w:color w:val="00B050"/>
        </w:rPr>
        <w:tab/>
      </w:r>
      <w:r>
        <w:rPr>
          <w:color w:val="00B050"/>
        </w:rPr>
        <w:tab/>
      </w:r>
      <w:r>
        <w:rPr>
          <w:color w:val="00B050"/>
        </w:rPr>
        <w:tab/>
      </w:r>
      <w:r>
        <w:rPr>
          <w:b/>
          <w:sz w:val="28"/>
          <w:szCs w:val="28"/>
        </w:rPr>
        <w:t>č.26</w:t>
      </w:r>
    </w:p>
    <w:p w:rsidR="009F15E3" w:rsidRDefault="009F15E3" w:rsidP="009F15E3">
      <w:pPr>
        <w:autoSpaceDE w:val="0"/>
        <w:autoSpaceDN w:val="0"/>
        <w:rPr>
          <w:b/>
        </w:rPr>
      </w:pPr>
    </w:p>
    <w:p w:rsidR="009F15E3" w:rsidRDefault="009F15E3" w:rsidP="009F15E3">
      <w:pPr>
        <w:autoSpaceDE w:val="0"/>
        <w:autoSpaceDN w:val="0"/>
        <w:ind w:left="3540" w:hanging="3540"/>
        <w:rPr>
          <w:b/>
        </w:rPr>
      </w:pPr>
    </w:p>
    <w:p w:rsidR="009F15E3" w:rsidRDefault="009F15E3" w:rsidP="009F15E3">
      <w:pPr>
        <w:autoSpaceDE w:val="0"/>
        <w:autoSpaceDN w:val="0"/>
        <w:ind w:left="3540" w:hanging="3540"/>
        <w:rPr>
          <w:b/>
          <w:color w:val="00B050"/>
        </w:rPr>
      </w:pPr>
      <w:r>
        <w:rPr>
          <w:b/>
        </w:rPr>
        <w:t>Názov materiálu:</w:t>
      </w:r>
      <w:r>
        <w:rPr>
          <w:b/>
        </w:rPr>
        <w:tab/>
      </w:r>
      <w:r>
        <w:rPr>
          <w:b/>
          <w:sz w:val="28"/>
          <w:szCs w:val="28"/>
        </w:rPr>
        <w:t xml:space="preserve">Správa o činnosti Mesta </w:t>
      </w:r>
      <w:r w:rsidR="00F71CE8">
        <w:rPr>
          <w:b/>
          <w:sz w:val="28"/>
          <w:szCs w:val="28"/>
        </w:rPr>
        <w:t>Stará Ľubovňa v oblasti sociálnej pomoci a sociálnej starostlivosti za rok 2018</w:t>
      </w: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  <w:r w:rsidRPr="00043FA6">
        <w:rPr>
          <w:b/>
          <w:bCs/>
        </w:rPr>
        <w:t>Materiál obsahuje</w:t>
      </w:r>
      <w:r w:rsidRPr="00043FA6">
        <w:rPr>
          <w:bCs/>
        </w:rPr>
        <w:t xml:space="preserve">:  </w:t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>
        <w:rPr>
          <w:bCs/>
        </w:rPr>
        <w:t>Návrh uznesenia</w:t>
      </w:r>
    </w:p>
    <w:p w:rsidR="009F15E3" w:rsidRDefault="009F15E3" w:rsidP="009F15E3">
      <w:pPr>
        <w:autoSpaceDE w:val="0"/>
        <w:autoSpaceDN w:val="0"/>
        <w:ind w:left="2832" w:firstLine="708"/>
        <w:rPr>
          <w:bCs/>
        </w:rPr>
      </w:pPr>
      <w:r>
        <w:rPr>
          <w:bCs/>
        </w:rPr>
        <w:t>Dôvodová správa</w:t>
      </w:r>
    </w:p>
    <w:p w:rsidR="009F15E3" w:rsidRDefault="00F71CE8" w:rsidP="00F71CE8">
      <w:pPr>
        <w:tabs>
          <w:tab w:val="left" w:pos="3571"/>
        </w:tabs>
        <w:autoSpaceDE w:val="0"/>
        <w:autoSpaceDN w:val="0"/>
        <w:ind w:left="3540"/>
        <w:rPr>
          <w:bCs/>
        </w:rPr>
      </w:pPr>
      <w:r>
        <w:rPr>
          <w:bCs/>
        </w:rPr>
        <w:t>Informatívna správa o činnosti Mesta Stará Ľubovňa v oblasti sociálnej pomoci a sociálnej starostlivosti za rok 2018</w:t>
      </w: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Cs/>
        </w:rPr>
      </w:pPr>
      <w:r w:rsidRPr="007D0709">
        <w:rPr>
          <w:b/>
          <w:bCs/>
        </w:rPr>
        <w:t>Materiál predkladá:</w:t>
      </w:r>
      <w:r w:rsidRPr="007D0709">
        <w:rPr>
          <w:b/>
          <w:bCs/>
        </w:rPr>
        <w:tab/>
      </w:r>
      <w:r>
        <w:rPr>
          <w:bCs/>
        </w:rPr>
        <w:tab/>
      </w:r>
      <w:r>
        <w:rPr>
          <w:bCs/>
        </w:rPr>
        <w:tab/>
        <w:t xml:space="preserve">Mgr. Mária </w:t>
      </w:r>
      <w:proofErr w:type="spellStart"/>
      <w:r>
        <w:rPr>
          <w:bCs/>
        </w:rPr>
        <w:t>Raššová</w:t>
      </w:r>
      <w:proofErr w:type="spellEnd"/>
    </w:p>
    <w:p w:rsidR="009F15E3" w:rsidRPr="00FF053C" w:rsidRDefault="009F15E3" w:rsidP="009F15E3">
      <w:pPr>
        <w:autoSpaceDE w:val="0"/>
        <w:autoSpaceDN w:val="0"/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ved</w:t>
      </w:r>
      <w:proofErr w:type="spellEnd"/>
      <w:r>
        <w:rPr>
          <w:bCs/>
        </w:rPr>
        <w:t>. odd. sociálnych vecí a bytovej politiky</w:t>
      </w:r>
    </w:p>
    <w:p w:rsidR="009F15E3" w:rsidRPr="00FF053C" w:rsidRDefault="009F15E3" w:rsidP="009F15E3">
      <w:pPr>
        <w:autoSpaceDE w:val="0"/>
        <w:autoSpaceDN w:val="0"/>
        <w:rPr>
          <w:b/>
          <w:bCs/>
        </w:rPr>
      </w:pPr>
      <w:r w:rsidRPr="00FF053C">
        <w:rPr>
          <w:bCs/>
        </w:rPr>
        <w:tab/>
      </w:r>
      <w:r w:rsidRPr="00FF053C">
        <w:rPr>
          <w:bCs/>
        </w:rPr>
        <w:tab/>
      </w:r>
      <w:r w:rsidRPr="00FF053C">
        <w:rPr>
          <w:bCs/>
        </w:rPr>
        <w:tab/>
      </w:r>
      <w:r w:rsidRPr="00FF053C">
        <w:rPr>
          <w:bCs/>
        </w:rPr>
        <w:tab/>
      </w:r>
      <w:r w:rsidRPr="00FF053C">
        <w:rPr>
          <w:bCs/>
        </w:rPr>
        <w:tab/>
      </w:r>
    </w:p>
    <w:p w:rsidR="009F15E3" w:rsidRDefault="009F15E3" w:rsidP="009F15E3">
      <w:pPr>
        <w:autoSpaceDE w:val="0"/>
        <w:autoSpaceDN w:val="0"/>
        <w:jc w:val="both"/>
        <w:rPr>
          <w:bCs/>
          <w:color w:val="00B050"/>
          <w:sz w:val="20"/>
          <w:szCs w:val="20"/>
        </w:rPr>
      </w:pPr>
    </w:p>
    <w:p w:rsidR="009F15E3" w:rsidRDefault="009F15E3" w:rsidP="009F15E3">
      <w:pPr>
        <w:autoSpaceDE w:val="0"/>
        <w:autoSpaceDN w:val="0"/>
        <w:jc w:val="both"/>
        <w:rPr>
          <w:bCs/>
          <w:color w:val="00B050"/>
          <w:sz w:val="20"/>
          <w:szCs w:val="20"/>
        </w:rPr>
      </w:pPr>
    </w:p>
    <w:p w:rsidR="009F15E3" w:rsidRDefault="009F15E3" w:rsidP="009F15E3">
      <w:pPr>
        <w:autoSpaceDE w:val="0"/>
        <w:autoSpaceDN w:val="0"/>
        <w:jc w:val="both"/>
        <w:rPr>
          <w:bCs/>
          <w:color w:val="00B050"/>
          <w:sz w:val="20"/>
          <w:szCs w:val="20"/>
        </w:rPr>
      </w:pPr>
    </w:p>
    <w:p w:rsidR="009F15E3" w:rsidRPr="005F67E3" w:rsidRDefault="009F15E3" w:rsidP="009F15E3">
      <w:pPr>
        <w:autoSpaceDE w:val="0"/>
        <w:autoSpaceDN w:val="0"/>
        <w:jc w:val="both"/>
        <w:rPr>
          <w:bCs/>
          <w:color w:val="00B050"/>
          <w:sz w:val="20"/>
          <w:szCs w:val="20"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</w:t>
      </w:r>
    </w:p>
    <w:p w:rsidR="009F15E3" w:rsidRDefault="009F15E3" w:rsidP="009F15E3">
      <w:pPr>
        <w:autoSpaceDE w:val="0"/>
        <w:autoSpaceDN w:val="0"/>
        <w:jc w:val="both"/>
        <w:rPr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  <w:r w:rsidRPr="00043FA6">
        <w:rPr>
          <w:b/>
          <w:bCs/>
        </w:rPr>
        <w:t>Materiál</w:t>
      </w:r>
      <w:r>
        <w:rPr>
          <w:b/>
          <w:bCs/>
        </w:rPr>
        <w:t xml:space="preserve"> </w:t>
      </w:r>
      <w:r w:rsidRPr="00FF053C">
        <w:rPr>
          <w:b/>
          <w:bCs/>
        </w:rPr>
        <w:t>vypracoval</w:t>
      </w:r>
      <w:r>
        <w:rPr>
          <w:b/>
          <w:bCs/>
        </w:rPr>
        <w:t>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Mgr. Mária </w:t>
      </w:r>
      <w:proofErr w:type="spellStart"/>
      <w:r>
        <w:rPr>
          <w:bCs/>
        </w:rPr>
        <w:t>Raššová</w:t>
      </w:r>
      <w:proofErr w:type="spellEnd"/>
    </w:p>
    <w:p w:rsidR="009F15E3" w:rsidRDefault="009F15E3" w:rsidP="009F15E3">
      <w:pPr>
        <w:autoSpaceDE w:val="0"/>
        <w:autoSpaceDN w:val="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Cs/>
        </w:rPr>
        <w:t>ved</w:t>
      </w:r>
      <w:proofErr w:type="spellEnd"/>
      <w:r>
        <w:rPr>
          <w:bCs/>
        </w:rPr>
        <w:t>. odd. sociálnych vecí a bytovej politiky</w:t>
      </w:r>
    </w:p>
    <w:p w:rsidR="009F15E3" w:rsidRPr="000D672B" w:rsidRDefault="009F15E3" w:rsidP="009F15E3">
      <w:pPr>
        <w:autoSpaceDE w:val="0"/>
        <w:autoSpaceDN w:val="0"/>
        <w:rPr>
          <w:bCs/>
          <w:color w:val="00B050"/>
        </w:rPr>
      </w:pPr>
      <w:r>
        <w:rPr>
          <w:bCs/>
          <w:color w:val="00B050"/>
        </w:rPr>
        <w:lastRenderedPageBreak/>
        <w:tab/>
      </w:r>
      <w:r>
        <w:rPr>
          <w:bCs/>
          <w:color w:val="00B050"/>
        </w:rPr>
        <w:tab/>
      </w:r>
    </w:p>
    <w:p w:rsidR="009F15E3" w:rsidRDefault="009F15E3" w:rsidP="009F15E3">
      <w:pPr>
        <w:autoSpaceDE w:val="0"/>
        <w:autoSpaceDN w:val="0"/>
        <w:rPr>
          <w:b/>
          <w:bCs/>
          <w:u w:val="single"/>
        </w:rPr>
      </w:pPr>
    </w:p>
    <w:p w:rsidR="009F15E3" w:rsidRPr="00514BBA" w:rsidRDefault="009F15E3" w:rsidP="009F15E3">
      <w:pPr>
        <w:autoSpaceDE w:val="0"/>
        <w:autoSpaceDN w:val="0"/>
        <w:jc w:val="center"/>
        <w:rPr>
          <w:b/>
          <w:bCs/>
          <w:u w:val="single"/>
        </w:rPr>
      </w:pPr>
      <w:r w:rsidRPr="00514BBA">
        <w:rPr>
          <w:b/>
          <w:bCs/>
          <w:u w:val="single"/>
        </w:rPr>
        <w:t>N á v r h   u z n e s e n i a</w:t>
      </w:r>
    </w:p>
    <w:p w:rsidR="009F15E3" w:rsidRPr="00514BBA" w:rsidRDefault="009F15E3" w:rsidP="009F15E3">
      <w:pPr>
        <w:rPr>
          <w:b/>
          <w:u w:val="single"/>
        </w:rPr>
      </w:pPr>
    </w:p>
    <w:p w:rsidR="009F15E3" w:rsidRDefault="009F15E3" w:rsidP="009F15E3">
      <w:pPr>
        <w:autoSpaceDE w:val="0"/>
        <w:autoSpaceDN w:val="0"/>
        <w:rPr>
          <w:b/>
          <w:bCs/>
        </w:rPr>
      </w:pPr>
    </w:p>
    <w:p w:rsidR="00F71CE8" w:rsidRPr="004F13DD" w:rsidRDefault="009F15E3" w:rsidP="00F71CE8">
      <w:pPr>
        <w:autoSpaceDE w:val="0"/>
        <w:autoSpaceDN w:val="0"/>
        <w:jc w:val="center"/>
        <w:rPr>
          <w:bCs/>
        </w:rPr>
      </w:pPr>
      <w:r w:rsidRPr="004F13DD">
        <w:rPr>
          <w:bCs/>
        </w:rPr>
        <w:t xml:space="preserve">Mestské zastupiteľstvo </w:t>
      </w:r>
      <w:r w:rsidR="00F71CE8" w:rsidRPr="004F13DD">
        <w:rPr>
          <w:bCs/>
        </w:rPr>
        <w:t>v Starej Ľubovni po prerokovaní predloženého materiálu</w:t>
      </w:r>
    </w:p>
    <w:p w:rsidR="00F71CE8" w:rsidRPr="004F13DD" w:rsidRDefault="00F71CE8" w:rsidP="00F71CE8">
      <w:pPr>
        <w:autoSpaceDE w:val="0"/>
        <w:autoSpaceDN w:val="0"/>
        <w:jc w:val="center"/>
        <w:rPr>
          <w:bCs/>
        </w:rPr>
      </w:pPr>
    </w:p>
    <w:p w:rsidR="00F71CE8" w:rsidRPr="004F13DD" w:rsidRDefault="004F13DD" w:rsidP="00F71CE8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b </w:t>
      </w:r>
      <w:r w:rsidR="00F71CE8" w:rsidRPr="004F13DD">
        <w:rPr>
          <w:b/>
          <w:bCs/>
        </w:rPr>
        <w:t>e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>r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>i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 xml:space="preserve">e </w:t>
      </w:r>
      <w:r>
        <w:rPr>
          <w:b/>
          <w:bCs/>
        </w:rPr>
        <w:t xml:space="preserve">    </w:t>
      </w:r>
      <w:r w:rsidR="00F71CE8" w:rsidRPr="004F13DD">
        <w:rPr>
          <w:b/>
          <w:bCs/>
        </w:rPr>
        <w:t>n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>a</w:t>
      </w:r>
      <w:r>
        <w:rPr>
          <w:b/>
          <w:bCs/>
        </w:rPr>
        <w:t xml:space="preserve">     </w:t>
      </w:r>
      <w:r w:rsidR="00F71CE8" w:rsidRPr="004F13DD">
        <w:rPr>
          <w:b/>
          <w:bCs/>
        </w:rPr>
        <w:t>v</w:t>
      </w:r>
      <w:r>
        <w:rPr>
          <w:b/>
          <w:bCs/>
        </w:rPr>
        <w:t> </w:t>
      </w:r>
      <w:r w:rsidR="00F71CE8" w:rsidRPr="004F13DD">
        <w:rPr>
          <w:b/>
          <w:bCs/>
        </w:rPr>
        <w:t>e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>d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>o</w:t>
      </w:r>
      <w:r>
        <w:rPr>
          <w:b/>
          <w:bCs/>
        </w:rPr>
        <w:t> </w:t>
      </w:r>
      <w:r w:rsidR="00F71CE8" w:rsidRPr="004F13DD">
        <w:rPr>
          <w:b/>
          <w:bCs/>
        </w:rPr>
        <w:t>m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>i</w:t>
      </w:r>
      <w:r>
        <w:rPr>
          <w:b/>
          <w:bCs/>
        </w:rPr>
        <w:t xml:space="preserve"> </w:t>
      </w:r>
      <w:r w:rsidR="00F71CE8" w:rsidRPr="004F13DD">
        <w:rPr>
          <w:b/>
          <w:bCs/>
        </w:rPr>
        <w:t>e</w:t>
      </w:r>
    </w:p>
    <w:p w:rsidR="00F71CE8" w:rsidRPr="004F13DD" w:rsidRDefault="00F71CE8" w:rsidP="00F71CE8">
      <w:pPr>
        <w:autoSpaceDE w:val="0"/>
        <w:autoSpaceDN w:val="0"/>
        <w:jc w:val="center"/>
        <w:rPr>
          <w:bCs/>
        </w:rPr>
      </w:pPr>
    </w:p>
    <w:p w:rsidR="009F15E3" w:rsidRPr="004F13DD" w:rsidRDefault="00F71CE8" w:rsidP="00F71CE8">
      <w:pPr>
        <w:autoSpaceDE w:val="0"/>
        <w:autoSpaceDN w:val="0"/>
        <w:jc w:val="center"/>
        <w:rPr>
          <w:color w:val="00B050"/>
        </w:rPr>
      </w:pPr>
      <w:r w:rsidRPr="004F13DD">
        <w:rPr>
          <w:bCs/>
        </w:rPr>
        <w:t xml:space="preserve">Informatívnu správu o činnosti Mesta Stará Ľubovňa v oblasti sociálnej pomoci a sociálnej starostlivosti za rok 2018 </w:t>
      </w:r>
      <w:r w:rsidR="009F15E3" w:rsidRPr="004F13DD">
        <w:rPr>
          <w:bCs/>
        </w:rPr>
        <w:t>v zmysle predloženého návrhu.</w:t>
      </w:r>
    </w:p>
    <w:p w:rsidR="009F15E3" w:rsidRPr="00556528" w:rsidRDefault="009F15E3" w:rsidP="00F71CE8">
      <w:pPr>
        <w:autoSpaceDE w:val="0"/>
        <w:autoSpaceDN w:val="0"/>
        <w:jc w:val="center"/>
        <w:rPr>
          <w:kern w:val="2"/>
        </w:rPr>
      </w:pPr>
    </w:p>
    <w:p w:rsidR="009F15E3" w:rsidRDefault="009F15E3" w:rsidP="00F71CE8">
      <w:pPr>
        <w:autoSpaceDE w:val="0"/>
        <w:autoSpaceDN w:val="0"/>
        <w:jc w:val="center"/>
        <w:rPr>
          <w:b/>
          <w:bCs/>
          <w:u w:val="single"/>
        </w:rPr>
      </w:pPr>
    </w:p>
    <w:p w:rsidR="009F15E3" w:rsidRDefault="009F15E3" w:rsidP="009F15E3">
      <w:pPr>
        <w:autoSpaceDE w:val="0"/>
        <w:autoSpaceDN w:val="0"/>
        <w:rPr>
          <w:b/>
          <w:bCs/>
          <w:u w:val="single"/>
        </w:rPr>
      </w:pPr>
    </w:p>
    <w:p w:rsidR="00C45743" w:rsidRDefault="00C45743" w:rsidP="009F15E3">
      <w:pPr>
        <w:autoSpaceDE w:val="0"/>
        <w:autoSpaceDN w:val="0"/>
        <w:rPr>
          <w:b/>
          <w:bCs/>
          <w:u w:val="single"/>
        </w:rPr>
      </w:pPr>
    </w:p>
    <w:p w:rsidR="00C45743" w:rsidRDefault="00C45743" w:rsidP="009F15E3">
      <w:pPr>
        <w:autoSpaceDE w:val="0"/>
        <w:autoSpaceDN w:val="0"/>
        <w:rPr>
          <w:b/>
          <w:bCs/>
          <w:u w:val="single"/>
        </w:rPr>
      </w:pPr>
    </w:p>
    <w:p w:rsidR="00C45743" w:rsidRDefault="00C45743" w:rsidP="009F15E3">
      <w:pPr>
        <w:autoSpaceDE w:val="0"/>
        <w:autoSpaceDN w:val="0"/>
        <w:rPr>
          <w:b/>
          <w:bCs/>
          <w:u w:val="single"/>
        </w:rPr>
      </w:pPr>
    </w:p>
    <w:p w:rsidR="009F15E3" w:rsidRPr="00514BBA" w:rsidRDefault="009F15E3" w:rsidP="009F15E3">
      <w:pPr>
        <w:autoSpaceDE w:val="0"/>
        <w:autoSpaceDN w:val="0"/>
        <w:jc w:val="center"/>
        <w:rPr>
          <w:b/>
          <w:bCs/>
          <w:u w:val="single"/>
        </w:rPr>
      </w:pPr>
      <w:r w:rsidRPr="00514BBA">
        <w:rPr>
          <w:b/>
          <w:bCs/>
          <w:u w:val="single"/>
        </w:rPr>
        <w:t>D ô v o d o v á   s p r á v a</w:t>
      </w:r>
    </w:p>
    <w:p w:rsidR="009F15E3" w:rsidRDefault="009F15E3" w:rsidP="009F15E3"/>
    <w:p w:rsidR="00F71CE8" w:rsidRPr="00556EB5" w:rsidRDefault="00F71CE8" w:rsidP="00F71CE8">
      <w:pPr>
        <w:autoSpaceDE w:val="0"/>
        <w:autoSpaceDN w:val="0"/>
        <w:ind w:firstLine="708"/>
        <w:jc w:val="both"/>
        <w:rPr>
          <w:bCs/>
        </w:rPr>
      </w:pPr>
      <w:r w:rsidRPr="00556EB5">
        <w:rPr>
          <w:bCs/>
        </w:rPr>
        <w:t xml:space="preserve">Materiál sa predkladá v zmysle schváleného </w:t>
      </w:r>
      <w:r>
        <w:rPr>
          <w:bCs/>
        </w:rPr>
        <w:t xml:space="preserve">Plánu práce </w:t>
      </w:r>
      <w:proofErr w:type="spellStart"/>
      <w:r>
        <w:rPr>
          <w:bCs/>
        </w:rPr>
        <w:t>MsR</w:t>
      </w:r>
      <w:proofErr w:type="spellEnd"/>
      <w:r>
        <w:rPr>
          <w:bCs/>
        </w:rPr>
        <w:t xml:space="preserve"> a </w:t>
      </w:r>
      <w:proofErr w:type="spellStart"/>
      <w:r>
        <w:rPr>
          <w:bCs/>
        </w:rPr>
        <w:t>MsZ</w:t>
      </w:r>
      <w:proofErr w:type="spellEnd"/>
      <w:r>
        <w:rPr>
          <w:bCs/>
        </w:rPr>
        <w:t xml:space="preserve"> na r. 2019</w:t>
      </w:r>
      <w:r w:rsidR="00A14EAD">
        <w:rPr>
          <w:bCs/>
        </w:rPr>
        <w:t xml:space="preserve"> a bol prerokovaný na zasadnutí Komisie sociálnych vecí, rodiny, bytovej politiky a zdravotníctva v Starej Ľubovni zo dňa 14.02.2019, počas ktorého bolo prijaté uznesenie: Komisia odporúča Mestskému zastupiteľstvu v Starej Ľubovni vziať na vedomie Informatívnu správu o činnosti Mesta Stará Ľubovňa v oblasti sociálnej pomoci a sociálnej starostlivosti za rok 2018. </w:t>
      </w:r>
    </w:p>
    <w:p w:rsidR="009F15E3" w:rsidRDefault="009F15E3" w:rsidP="009F15E3"/>
    <w:p w:rsidR="009F15E3" w:rsidRPr="00CB5481" w:rsidRDefault="009F15E3" w:rsidP="009F15E3">
      <w:pPr>
        <w:ind w:left="284"/>
        <w:jc w:val="both"/>
      </w:pPr>
    </w:p>
    <w:p w:rsidR="009F15E3" w:rsidRDefault="009F15E3" w:rsidP="009F15E3">
      <w:pPr>
        <w:pStyle w:val="Odsekzoznamu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15E3" w:rsidRPr="00711590" w:rsidRDefault="009F15E3" w:rsidP="009F15E3">
      <w:pPr>
        <w:ind w:left="60"/>
        <w:jc w:val="both"/>
      </w:pPr>
    </w:p>
    <w:p w:rsidR="009F15E3" w:rsidRDefault="009F15E3" w:rsidP="008D56F5">
      <w:pPr>
        <w:rPr>
          <w:b/>
          <w:sz w:val="32"/>
          <w:szCs w:val="32"/>
        </w:rPr>
      </w:pPr>
    </w:p>
    <w:p w:rsidR="009F15E3" w:rsidRDefault="009F15E3" w:rsidP="008D56F5">
      <w:pPr>
        <w:rPr>
          <w:b/>
          <w:sz w:val="32"/>
          <w:szCs w:val="32"/>
        </w:rPr>
      </w:pPr>
    </w:p>
    <w:p w:rsidR="009F15E3" w:rsidRDefault="009F15E3" w:rsidP="008D56F5">
      <w:pPr>
        <w:rPr>
          <w:b/>
          <w:sz w:val="32"/>
          <w:szCs w:val="32"/>
        </w:rPr>
      </w:pPr>
    </w:p>
    <w:p w:rsidR="009F15E3" w:rsidRDefault="009F15E3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</w:p>
    <w:p w:rsidR="00F71CE8" w:rsidRDefault="00F71CE8" w:rsidP="008D56F5">
      <w:pPr>
        <w:rPr>
          <w:b/>
          <w:sz w:val="32"/>
          <w:szCs w:val="32"/>
        </w:rPr>
      </w:pPr>
      <w:bookmarkStart w:id="0" w:name="_GoBack"/>
      <w:bookmarkEnd w:id="0"/>
    </w:p>
    <w:p w:rsidR="009F15E3" w:rsidRDefault="009F15E3" w:rsidP="008D56F5">
      <w:pPr>
        <w:rPr>
          <w:b/>
          <w:sz w:val="32"/>
          <w:szCs w:val="32"/>
        </w:rPr>
      </w:pPr>
    </w:p>
    <w:p w:rsidR="002F0F03" w:rsidRDefault="002F0F03" w:rsidP="008D56F5">
      <w:pPr>
        <w:rPr>
          <w:b/>
          <w:sz w:val="32"/>
          <w:szCs w:val="32"/>
        </w:rPr>
      </w:pPr>
      <w:r>
        <w:rPr>
          <w:b/>
          <w:sz w:val="32"/>
          <w:szCs w:val="32"/>
        </w:rPr>
        <w:t>Informatívna správa o sociálnej pomoci a sociálnej starostlivosti</w:t>
      </w:r>
    </w:p>
    <w:p w:rsidR="002F0F03" w:rsidRDefault="002F0F03" w:rsidP="008D56F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za rok 201</w:t>
      </w:r>
      <w:r w:rsidR="005A35A3">
        <w:rPr>
          <w:b/>
          <w:sz w:val="32"/>
          <w:szCs w:val="32"/>
        </w:rPr>
        <w:t>8</w:t>
      </w:r>
    </w:p>
    <w:p w:rsidR="002F0F03" w:rsidRDefault="002F0F03" w:rsidP="008D56F5">
      <w:pPr>
        <w:jc w:val="both"/>
        <w:rPr>
          <w:b/>
          <w:sz w:val="32"/>
          <w:szCs w:val="32"/>
        </w:rPr>
      </w:pPr>
    </w:p>
    <w:p w:rsidR="00706A6F" w:rsidRDefault="004820AC" w:rsidP="00706A6F">
      <w:pPr>
        <w:ind w:firstLine="709"/>
        <w:jc w:val="both"/>
      </w:pPr>
      <w:r>
        <w:t>Mesto Stará Ľubovňa v roku 2018</w:t>
      </w:r>
      <w:r w:rsidR="00706A6F">
        <w:t xml:space="preserve"> úlohy v oblasti sociálnej pomoci a sociálnej starostlivosti zabezpečovalo v súlade s platnými zákonmi a právnymi normami prostredníctvom oddelenia sociálnych vecí a bytovej politiky. </w:t>
      </w:r>
    </w:p>
    <w:p w:rsidR="00706A6F" w:rsidRDefault="00706A6F" w:rsidP="00706A6F">
      <w:pPr>
        <w:jc w:val="both"/>
      </w:pPr>
    </w:p>
    <w:p w:rsidR="00706A6F" w:rsidRDefault="00706A6F" w:rsidP="00706A6F">
      <w:pPr>
        <w:jc w:val="both"/>
      </w:pPr>
      <w:r>
        <w:t xml:space="preserve">Činnosť </w:t>
      </w:r>
      <w:r w:rsidR="009617FC">
        <w:t>oddelenia</w:t>
      </w:r>
      <w:r>
        <w:t xml:space="preserve"> sociálnych vecí </w:t>
      </w:r>
      <w:r w:rsidR="007E595D">
        <w:t xml:space="preserve">a bytovej politiky </w:t>
      </w:r>
      <w:r>
        <w:t xml:space="preserve">bola zameraná na oblasti:   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inštitút osobitného príjemcu (ďalej „I OP“)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dotácie pre žiakov z rodín v hmotnej núdzi/pod hranicou životného minima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sociálnoprávna ochrana detí a</w:t>
      </w:r>
      <w:r w:rsidR="00686695">
        <w:t xml:space="preserve"> plnoletých fyzických osôb, </w:t>
      </w:r>
      <w:r>
        <w:t>sociálna kuratela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jednorazové dávky sociálnej pomoci</w:t>
      </w:r>
      <w:r w:rsidR="00686695">
        <w:t xml:space="preserve">, príspevky 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zanedbávanie povinnej školskej dochádzky</w:t>
      </w:r>
    </w:p>
    <w:p w:rsidR="00706A6F" w:rsidRDefault="007E595D" w:rsidP="00706A6F">
      <w:pPr>
        <w:numPr>
          <w:ilvl w:val="0"/>
          <w:numId w:val="6"/>
        </w:numPr>
        <w:ind w:left="714" w:hanging="357"/>
        <w:jc w:val="both"/>
      </w:pPr>
      <w:r>
        <w:t>spoločný obecný úrad pre zabezpečenie sociálnych služieb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sociálne služby poskytované mestom - opatrovateľská služba</w:t>
      </w:r>
      <w:r w:rsidR="002932A7">
        <w:t>, posudková činnosť</w:t>
      </w:r>
    </w:p>
    <w:p w:rsidR="002932A7" w:rsidRDefault="002932A7" w:rsidP="00706A6F">
      <w:pPr>
        <w:numPr>
          <w:ilvl w:val="0"/>
          <w:numId w:val="6"/>
        </w:numPr>
        <w:ind w:left="714" w:hanging="357"/>
        <w:jc w:val="both"/>
      </w:pPr>
      <w:r>
        <w:t>stravovanie dôchodcov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agenda bytovej politiky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terénna</w:t>
      </w:r>
      <w:r w:rsidR="004820AC">
        <w:t xml:space="preserve"> a </w:t>
      </w:r>
      <w:proofErr w:type="spellStart"/>
      <w:r w:rsidR="004820AC">
        <w:t>komunitná</w:t>
      </w:r>
      <w:proofErr w:type="spellEnd"/>
      <w:r>
        <w:t xml:space="preserve"> sociálna práca</w:t>
      </w:r>
    </w:p>
    <w:p w:rsidR="00822400" w:rsidRDefault="00822400" w:rsidP="00822400">
      <w:pPr>
        <w:ind w:left="357"/>
        <w:jc w:val="both"/>
      </w:pPr>
    </w:p>
    <w:p w:rsidR="00822400" w:rsidRDefault="00822400" w:rsidP="00822400">
      <w:pPr>
        <w:ind w:left="357"/>
        <w:jc w:val="both"/>
      </w:pPr>
    </w:p>
    <w:p w:rsidR="00E24606" w:rsidRDefault="00E24606" w:rsidP="00E24606">
      <w:pPr>
        <w:spacing w:line="360" w:lineRule="auto"/>
        <w:jc w:val="both"/>
      </w:pPr>
    </w:p>
    <w:p w:rsidR="00E24606" w:rsidRDefault="00E24606" w:rsidP="00E24606">
      <w:pPr>
        <w:jc w:val="both"/>
      </w:pPr>
      <w:r w:rsidRPr="00BA77D3">
        <w:rPr>
          <w:b/>
          <w:bCs/>
        </w:rPr>
        <w:t>Inštitút osobitného príjemcu</w:t>
      </w:r>
    </w:p>
    <w:p w:rsidR="00E24606" w:rsidRPr="00BA77D3" w:rsidRDefault="00E24606" w:rsidP="00E24606">
      <w:pPr>
        <w:jc w:val="both"/>
      </w:pPr>
    </w:p>
    <w:p w:rsidR="00E24606" w:rsidRDefault="00E24606" w:rsidP="00E24606">
      <w:pPr>
        <w:ind w:firstLine="709"/>
        <w:jc w:val="both"/>
      </w:pPr>
      <w:r>
        <w:t>I</w:t>
      </w:r>
      <w:r w:rsidRPr="00BE1CC2">
        <w:t>nštitút osobitného príjemcu</w:t>
      </w:r>
      <w:r>
        <w:t xml:space="preserve"> (ďalej „I OP“) je legislatívne výstupom sociálnych zákonov. </w:t>
      </w:r>
    </w:p>
    <w:p w:rsidR="00E24606" w:rsidRDefault="00E24606" w:rsidP="00E24606">
      <w:pPr>
        <w:ind w:firstLine="708"/>
        <w:jc w:val="both"/>
      </w:pPr>
      <w:r>
        <w:t xml:space="preserve">Zaradenie klienta do I </w:t>
      </w:r>
      <w:proofErr w:type="spellStart"/>
      <w:r>
        <w:t>OPje</w:t>
      </w:r>
      <w:proofErr w:type="spellEnd"/>
      <w:r>
        <w:t xml:space="preserve"> v kompetencii </w:t>
      </w:r>
      <w:proofErr w:type="spellStart"/>
      <w:r>
        <w:t>ÚPSVaR</w:t>
      </w:r>
      <w:proofErr w:type="spellEnd"/>
      <w:r>
        <w:t xml:space="preserve">. Vykonáva sa  </w:t>
      </w:r>
      <w:r w:rsidRPr="00BE1CC2">
        <w:t>po individuálnom</w:t>
      </w:r>
      <w:r>
        <w:t xml:space="preserve"> posúdení každého prípadu a to na podnet </w:t>
      </w:r>
      <w:proofErr w:type="spellStart"/>
      <w:r>
        <w:t>ÚPSVaR</w:t>
      </w:r>
      <w:proofErr w:type="spellEnd"/>
      <w:r>
        <w:t>, na základe hlásení škôl a na podnet oddelenia sociálnych vecí MsÚ. Zaradenie do inštitútu môže byť vykonané aj na podnet klienta. V roku 2018 o zaradenie do inštitútu požiadali 2 rodiny.</w:t>
      </w:r>
    </w:p>
    <w:p w:rsidR="00E24606" w:rsidRDefault="00E24606" w:rsidP="00E24606">
      <w:pPr>
        <w:ind w:firstLine="708"/>
        <w:jc w:val="both"/>
      </w:pPr>
      <w:r>
        <w:t xml:space="preserve">Klientmi inštitútu OP sú predovšetkým občania </w:t>
      </w:r>
      <w:proofErr w:type="spellStart"/>
      <w:r>
        <w:t>exkludovanej</w:t>
      </w:r>
      <w:proofErr w:type="spellEnd"/>
      <w:r>
        <w:t xml:space="preserve"> etnickej komunity, čo predstavuje 99,76 %.</w:t>
      </w:r>
    </w:p>
    <w:p w:rsidR="00E24606" w:rsidRDefault="00E24606" w:rsidP="00E24606">
      <w:pPr>
        <w:ind w:firstLine="708"/>
        <w:jc w:val="both"/>
      </w:pPr>
      <w:r>
        <w:t xml:space="preserve">Inštitút OP sa vykonáva v dvoch kategóriách. Prvú kategóriu tvoria klienti, u ktorých  je potrebné zlepšiť rodinné prostredie, resp. rodine bolo uložené výchovné opatrenie. Sanácia sa týka ekonomických, rodičovských a výchovných schopností rodiny, účelného využívania dávky, redukcie výskytu sociálno-patologických javov a pod. Druhá kategória je zameraná na rodičov zanedbávajúcich povinnú školskú dochádzku detí. </w:t>
      </w:r>
    </w:p>
    <w:p w:rsidR="00E24606" w:rsidRPr="00BE1CC2" w:rsidRDefault="00E24606" w:rsidP="00E24606">
      <w:pPr>
        <w:ind w:firstLine="708"/>
        <w:jc w:val="both"/>
      </w:pPr>
      <w:r>
        <w:t>Klienti zaradení do inštitútu OP poberajú priznané dávky vecnou, peňažnou, alebo kombinovanou formou. To znamená, poberateľom sú vydávané poukážky na nákup v zmluvných predajniach, poskytnutá hotovosť,  alebo je im poskytované poradenstvo pri nákupe p</w:t>
      </w:r>
      <w:r w:rsidRPr="00BE1CC2">
        <w:t>otravín, ošatenia</w:t>
      </w:r>
      <w:r>
        <w:t>,</w:t>
      </w:r>
      <w:r w:rsidRPr="00BE1CC2">
        <w:t xml:space="preserve"> osobných potrieb</w:t>
      </w:r>
      <w:r>
        <w:t xml:space="preserve"> v nezmluvných predajniach. Z dávky boli uskutočňované platby </w:t>
      </w:r>
      <w:r w:rsidRPr="00BE1CC2">
        <w:t>za</w:t>
      </w:r>
      <w:r>
        <w:t>: náklady spojené s bývaním, výživné na deti, ktoré boli rodičom dočasne  odňaté zo starostlivosti a pod.</w:t>
      </w:r>
    </w:p>
    <w:p w:rsidR="00E24606" w:rsidRDefault="00E24606" w:rsidP="00C45743">
      <w:pPr>
        <w:ind w:firstLine="708"/>
        <w:jc w:val="both"/>
      </w:pPr>
      <w:r w:rsidRPr="00BE1CC2">
        <w:t xml:space="preserve">Poberatelia </w:t>
      </w:r>
      <w:r>
        <w:t xml:space="preserve">sociálnych </w:t>
      </w:r>
      <w:r w:rsidRPr="00BE1CC2">
        <w:t>dávok navšt</w:t>
      </w:r>
      <w:r>
        <w:t>evujú oddelenie soc. vecí cca 1-3</w:t>
      </w:r>
      <w:r w:rsidRPr="00BE1CC2">
        <w:t xml:space="preserve"> krát</w:t>
      </w:r>
      <w:r>
        <w:t xml:space="preserve"> týždenne,</w:t>
      </w:r>
      <w:r w:rsidR="00686695">
        <w:t xml:space="preserve"> </w:t>
      </w:r>
      <w:r>
        <w:t>z dôvodu vypísania poukážok, poradenstva, kalkulácie dávky, administratívnej pomoci a pod. Prístup ku každej rodine je individuálny, rovnako individuálne je aj plánovanie kalkulácie výdavkov, realizované v spolupráci s klientom. Na základe finančného plánovania sú stanovené limity výberov, závisiace od výšky dávky a potrieb rodiny.</w:t>
      </w:r>
      <w:r w:rsidR="00686695">
        <w:t xml:space="preserve"> </w:t>
      </w:r>
      <w:r>
        <w:t xml:space="preserve">Výkon inštitútu, ktorý zahŕňa okrem administratívnej práce i návštevy rodín, pomáha (v spolupráci s kurátormi ÚPSVR a terénnymi soc. pracovníkmi) riešiť </w:t>
      </w:r>
      <w:r w:rsidRPr="00BE1CC2">
        <w:t xml:space="preserve">problémy v jednotlivých rodinách, </w:t>
      </w:r>
      <w:r>
        <w:t xml:space="preserve">povzbudzuje rodiny k väčšej aktivite, </w:t>
      </w:r>
      <w:r>
        <w:lastRenderedPageBreak/>
        <w:t>posilňuje</w:t>
      </w:r>
      <w:r w:rsidR="00686695">
        <w:t xml:space="preserve"> </w:t>
      </w:r>
      <w:r>
        <w:t xml:space="preserve">ich </w:t>
      </w:r>
      <w:r w:rsidRPr="00BE1CC2">
        <w:t>sebavedom</w:t>
      </w:r>
      <w:r>
        <w:t>i</w:t>
      </w:r>
      <w:r w:rsidRPr="00BE1CC2">
        <w:t>e,</w:t>
      </w:r>
      <w:r>
        <w:t xml:space="preserve"> zodpovednosť,</w:t>
      </w:r>
      <w:r w:rsidR="00686695">
        <w:t xml:space="preserve"> </w:t>
      </w:r>
      <w:r>
        <w:t xml:space="preserve">zlepšuje </w:t>
      </w:r>
      <w:r w:rsidRPr="00BE1CC2">
        <w:t>starostlivosť o zdravie, ošatenie, osobn</w:t>
      </w:r>
      <w:r>
        <w:t xml:space="preserve">ú hygienu a školskú dochádzku detí.                                                                                                                              </w:t>
      </w:r>
    </w:p>
    <w:p w:rsidR="00E24606" w:rsidRDefault="00E24606" w:rsidP="00E24606">
      <w:pPr>
        <w:rPr>
          <w:sz w:val="20"/>
          <w:szCs w:val="20"/>
        </w:rPr>
      </w:pPr>
    </w:p>
    <w:p w:rsidR="00C45743" w:rsidRDefault="00C45743" w:rsidP="00E24606">
      <w:pPr>
        <w:rPr>
          <w:sz w:val="20"/>
          <w:szCs w:val="20"/>
        </w:rPr>
      </w:pPr>
    </w:p>
    <w:p w:rsidR="00C45743" w:rsidRDefault="00C45743" w:rsidP="00E24606">
      <w:pPr>
        <w:rPr>
          <w:sz w:val="20"/>
          <w:szCs w:val="20"/>
        </w:rPr>
      </w:pPr>
    </w:p>
    <w:p w:rsidR="00C45743" w:rsidRDefault="00C45743" w:rsidP="00E24606">
      <w:pPr>
        <w:rPr>
          <w:sz w:val="20"/>
          <w:szCs w:val="20"/>
        </w:rPr>
      </w:pPr>
    </w:p>
    <w:p w:rsidR="00E24606" w:rsidRPr="00B55B74" w:rsidRDefault="00E24606" w:rsidP="00E24606">
      <w:pPr>
        <w:rPr>
          <w:sz w:val="20"/>
          <w:szCs w:val="20"/>
        </w:rPr>
      </w:pPr>
      <w:r>
        <w:rPr>
          <w:sz w:val="20"/>
          <w:szCs w:val="20"/>
        </w:rPr>
        <w:t xml:space="preserve">Tab. č. </w:t>
      </w:r>
      <w:r w:rsidRPr="00B55B74">
        <w:rPr>
          <w:sz w:val="20"/>
          <w:szCs w:val="20"/>
        </w:rPr>
        <w:t>1: Dávky poukázané na inštitút OP v rokoch 201</w:t>
      </w:r>
      <w:r>
        <w:rPr>
          <w:sz w:val="20"/>
          <w:szCs w:val="20"/>
        </w:rPr>
        <w:t>7</w:t>
      </w:r>
      <w:r w:rsidRPr="00B55B74">
        <w:rPr>
          <w:sz w:val="20"/>
          <w:szCs w:val="20"/>
        </w:rPr>
        <w:t>, 201</w:t>
      </w:r>
      <w:r>
        <w:rPr>
          <w:sz w:val="20"/>
          <w:szCs w:val="20"/>
        </w:rPr>
        <w:t>8</w:t>
      </w:r>
    </w:p>
    <w:tbl>
      <w:tblPr>
        <w:tblpPr w:leftFromText="141" w:rightFromText="141" w:vertAnchor="page" w:horzAnchor="margin" w:tblpXSpec="center" w:tblpY="3592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9"/>
        <w:gridCol w:w="885"/>
        <w:gridCol w:w="1276"/>
        <w:gridCol w:w="1275"/>
        <w:gridCol w:w="1418"/>
        <w:gridCol w:w="1395"/>
        <w:gridCol w:w="1332"/>
        <w:gridCol w:w="1418"/>
      </w:tblGrid>
      <w:tr w:rsidR="00C45743" w:rsidTr="00C45743">
        <w:trPr>
          <w:trHeight w:val="180"/>
        </w:trPr>
        <w:tc>
          <w:tcPr>
            <w:tcW w:w="1242" w:type="dxa"/>
            <w:vMerge w:val="restart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Rok 2017/2018</w:t>
            </w:r>
          </w:p>
        </w:tc>
        <w:tc>
          <w:tcPr>
            <w:tcW w:w="1594" w:type="dxa"/>
            <w:gridSpan w:val="2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 w:rsidRPr="00402552">
              <w:rPr>
                <w:b/>
              </w:rPr>
              <w:t xml:space="preserve">Počet </w:t>
            </w:r>
            <w:r>
              <w:rPr>
                <w:b/>
              </w:rPr>
              <w:t>klientov</w:t>
            </w:r>
          </w:p>
        </w:tc>
        <w:tc>
          <w:tcPr>
            <w:tcW w:w="2551" w:type="dxa"/>
            <w:gridSpan w:val="2"/>
            <w:shd w:val="clear" w:color="auto" w:fill="E0E0E0"/>
          </w:tcPr>
          <w:p w:rsidR="00C45743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Hmotná núdza</w:t>
            </w:r>
          </w:p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+ príspevky</w:t>
            </w:r>
          </w:p>
        </w:tc>
        <w:tc>
          <w:tcPr>
            <w:tcW w:w="2813" w:type="dxa"/>
            <w:gridSpan w:val="2"/>
            <w:shd w:val="clear" w:color="auto" w:fill="E0E0E0"/>
          </w:tcPr>
          <w:p w:rsidR="00C45743" w:rsidRDefault="00C45743" w:rsidP="00C45743">
            <w:pPr>
              <w:jc w:val="center"/>
              <w:rPr>
                <w:b/>
              </w:rPr>
            </w:pPr>
            <w:r w:rsidRPr="00402552">
              <w:rPr>
                <w:b/>
              </w:rPr>
              <w:t>P</w:t>
            </w:r>
            <w:r>
              <w:rPr>
                <w:b/>
              </w:rPr>
              <w:t xml:space="preserve">rídavok na dieťa </w:t>
            </w:r>
          </w:p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+ príspevky</w:t>
            </w:r>
          </w:p>
        </w:tc>
        <w:tc>
          <w:tcPr>
            <w:tcW w:w="2750" w:type="dxa"/>
            <w:gridSpan w:val="2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 w:rsidRPr="00402552">
              <w:rPr>
                <w:b/>
                <w:sz w:val="22"/>
                <w:szCs w:val="22"/>
              </w:rPr>
              <w:t>Spolu v €</w:t>
            </w:r>
          </w:p>
        </w:tc>
      </w:tr>
      <w:tr w:rsidR="00C45743" w:rsidTr="00C45743">
        <w:trPr>
          <w:trHeight w:val="375"/>
        </w:trPr>
        <w:tc>
          <w:tcPr>
            <w:tcW w:w="1242" w:type="dxa"/>
            <w:vMerge/>
            <w:shd w:val="clear" w:color="auto" w:fill="E0E0E0"/>
          </w:tcPr>
          <w:p w:rsidR="00C45743" w:rsidRDefault="00C45743" w:rsidP="00C45743">
            <w:pPr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885" w:type="dxa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276" w:type="dxa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275" w:type="dxa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418" w:type="dxa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395" w:type="dxa"/>
            <w:shd w:val="clear" w:color="auto" w:fill="E0E0E0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332" w:type="dxa"/>
            <w:shd w:val="clear" w:color="auto" w:fill="E0E0E0"/>
          </w:tcPr>
          <w:p w:rsidR="00C45743" w:rsidRDefault="00C45743" w:rsidP="00C45743">
            <w:pPr>
              <w:jc w:val="center"/>
            </w:pPr>
            <w:r>
              <w:rPr>
                <w:b/>
              </w:rPr>
              <w:t>2017</w:t>
            </w:r>
          </w:p>
        </w:tc>
        <w:tc>
          <w:tcPr>
            <w:tcW w:w="1418" w:type="dxa"/>
            <w:shd w:val="clear" w:color="auto" w:fill="E0E0E0"/>
          </w:tcPr>
          <w:p w:rsidR="00C45743" w:rsidRPr="006D66DB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Január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77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78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5 476,29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4 533,10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8 767,12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9 062,32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14 243,41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13 595,42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Február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84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74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6 738,60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5 120,40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10 235,25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8 329,15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16 973,85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13 449,55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Marec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83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78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6 824,20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5 040,10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9 701,00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9 458,25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16 525,20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14 498,35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Apríl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84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81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6 684,10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4 998,00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9 750,58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8 719,83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16 434,68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13 717,83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Máj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79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82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6 315,30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4 805,90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9 273,62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9 388,15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15 588,92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14 194,05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Jún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78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82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4 972,52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4 398,00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9 814,68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8 786,82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14 787,20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13 184,82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Júl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86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80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5 674,80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3 800,60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9 051,00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8 525,30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14 725,80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12 325,90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August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83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80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4 859,65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4 469,10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10 520,46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9 508,29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15 380,11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13 977,39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proofErr w:type="spellStart"/>
            <w:r>
              <w:t>Septemb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83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78</w:t>
            </w:r>
          </w:p>
        </w:tc>
        <w:tc>
          <w:tcPr>
            <w:tcW w:w="1276" w:type="dxa"/>
          </w:tcPr>
          <w:p w:rsidR="00C45743" w:rsidRDefault="00C45743" w:rsidP="00C45743">
            <w:pPr>
              <w:jc w:val="center"/>
            </w:pPr>
            <w:r>
              <w:t>4 291,40</w:t>
            </w:r>
          </w:p>
        </w:tc>
        <w:tc>
          <w:tcPr>
            <w:tcW w:w="1275" w:type="dxa"/>
          </w:tcPr>
          <w:p w:rsidR="00C45743" w:rsidRDefault="00C45743" w:rsidP="00C45743">
            <w:pPr>
              <w:jc w:val="center"/>
            </w:pPr>
            <w:r>
              <w:t>4 795,65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9 121,56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8 226,89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13 412,96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13 022,54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Október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82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76</w:t>
            </w:r>
          </w:p>
        </w:tc>
        <w:tc>
          <w:tcPr>
            <w:tcW w:w="1276" w:type="dxa"/>
          </w:tcPr>
          <w:p w:rsidR="00C45743" w:rsidRPr="00DD5445" w:rsidRDefault="00C45743" w:rsidP="00C45743">
            <w:pPr>
              <w:jc w:val="center"/>
            </w:pPr>
            <w:r>
              <w:t>3 866,70</w:t>
            </w:r>
          </w:p>
        </w:tc>
        <w:tc>
          <w:tcPr>
            <w:tcW w:w="1275" w:type="dxa"/>
          </w:tcPr>
          <w:p w:rsidR="00C45743" w:rsidRPr="00DD5445" w:rsidRDefault="00C45743" w:rsidP="00C45743">
            <w:pPr>
              <w:jc w:val="center"/>
            </w:pPr>
            <w:r>
              <w:t>4 083,00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9 343,28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8 404,70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13 209,98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12 487,70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November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83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81</w:t>
            </w:r>
          </w:p>
        </w:tc>
        <w:tc>
          <w:tcPr>
            <w:tcW w:w="1276" w:type="dxa"/>
          </w:tcPr>
          <w:p w:rsidR="00C45743" w:rsidRPr="00DD5445" w:rsidRDefault="00C45743" w:rsidP="00C45743">
            <w:pPr>
              <w:jc w:val="center"/>
            </w:pPr>
            <w:r>
              <w:t>3 908,00</w:t>
            </w:r>
          </w:p>
        </w:tc>
        <w:tc>
          <w:tcPr>
            <w:tcW w:w="1275" w:type="dxa"/>
          </w:tcPr>
          <w:p w:rsidR="00C45743" w:rsidRPr="00DD5445" w:rsidRDefault="00C45743" w:rsidP="00C45743">
            <w:pPr>
              <w:jc w:val="center"/>
            </w:pPr>
            <w:r>
              <w:t>4 648,74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9 247,68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8 894,11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13 155,68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13 542,85</w:t>
            </w:r>
          </w:p>
        </w:tc>
      </w:tr>
      <w:tr w:rsidR="00C45743" w:rsidTr="00C45743">
        <w:tc>
          <w:tcPr>
            <w:tcW w:w="1242" w:type="dxa"/>
            <w:shd w:val="clear" w:color="auto" w:fill="E0E0E0"/>
          </w:tcPr>
          <w:p w:rsidR="00C45743" w:rsidRDefault="00C45743" w:rsidP="00C45743">
            <w:pPr>
              <w:jc w:val="both"/>
            </w:pPr>
            <w:r>
              <w:t>December</w:t>
            </w:r>
          </w:p>
        </w:tc>
        <w:tc>
          <w:tcPr>
            <w:tcW w:w="709" w:type="dxa"/>
          </w:tcPr>
          <w:p w:rsidR="00C45743" w:rsidRDefault="00C45743" w:rsidP="00C45743">
            <w:pPr>
              <w:jc w:val="center"/>
            </w:pPr>
            <w:r>
              <w:t>82</w:t>
            </w:r>
          </w:p>
        </w:tc>
        <w:tc>
          <w:tcPr>
            <w:tcW w:w="885" w:type="dxa"/>
          </w:tcPr>
          <w:p w:rsidR="00C45743" w:rsidRDefault="00C45743" w:rsidP="00C45743">
            <w:pPr>
              <w:jc w:val="center"/>
            </w:pPr>
            <w:r>
              <w:t>75</w:t>
            </w:r>
          </w:p>
        </w:tc>
        <w:tc>
          <w:tcPr>
            <w:tcW w:w="1276" w:type="dxa"/>
          </w:tcPr>
          <w:p w:rsidR="00C45743" w:rsidRPr="00DD5445" w:rsidRDefault="00C45743" w:rsidP="00C45743">
            <w:pPr>
              <w:jc w:val="center"/>
            </w:pPr>
            <w:r>
              <w:t>4 408,10</w:t>
            </w:r>
          </w:p>
        </w:tc>
        <w:tc>
          <w:tcPr>
            <w:tcW w:w="1275" w:type="dxa"/>
          </w:tcPr>
          <w:p w:rsidR="00C45743" w:rsidRPr="00DD5445" w:rsidRDefault="00C45743" w:rsidP="00C45743">
            <w:pPr>
              <w:jc w:val="center"/>
            </w:pPr>
            <w:r>
              <w:t>4 518,89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8 535,52</w:t>
            </w:r>
          </w:p>
        </w:tc>
        <w:tc>
          <w:tcPr>
            <w:tcW w:w="1395" w:type="dxa"/>
          </w:tcPr>
          <w:p w:rsidR="00C45743" w:rsidRDefault="00C45743" w:rsidP="00C45743">
            <w:pPr>
              <w:jc w:val="center"/>
            </w:pPr>
            <w:r>
              <w:t>8 440,88</w:t>
            </w:r>
          </w:p>
        </w:tc>
        <w:tc>
          <w:tcPr>
            <w:tcW w:w="1332" w:type="dxa"/>
          </w:tcPr>
          <w:p w:rsidR="00C45743" w:rsidRDefault="00C45743" w:rsidP="00C45743">
            <w:pPr>
              <w:jc w:val="center"/>
            </w:pPr>
            <w:r>
              <w:t>12 943,62</w:t>
            </w:r>
          </w:p>
        </w:tc>
        <w:tc>
          <w:tcPr>
            <w:tcW w:w="1418" w:type="dxa"/>
          </w:tcPr>
          <w:p w:rsidR="00C45743" w:rsidRDefault="00C45743" w:rsidP="00C45743">
            <w:pPr>
              <w:jc w:val="center"/>
            </w:pPr>
            <w:r>
              <w:t>12 959,77</w:t>
            </w:r>
          </w:p>
        </w:tc>
      </w:tr>
      <w:tr w:rsidR="00C45743" w:rsidRPr="00402552" w:rsidTr="00C45743">
        <w:tc>
          <w:tcPr>
            <w:tcW w:w="1242" w:type="dxa"/>
            <w:shd w:val="clear" w:color="auto" w:fill="E0E0E0"/>
          </w:tcPr>
          <w:p w:rsidR="00C45743" w:rsidRPr="00402552" w:rsidRDefault="00C45743" w:rsidP="00C45743">
            <w:pPr>
              <w:rPr>
                <w:b/>
              </w:rPr>
            </w:pPr>
            <w:r w:rsidRPr="00402552">
              <w:rPr>
                <w:b/>
              </w:rPr>
              <w:t>S p o l u :</w:t>
            </w:r>
            <w:r>
              <w:rPr>
                <w:b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C45743" w:rsidRPr="00234E93" w:rsidRDefault="00C45743" w:rsidP="00C45743">
            <w:pPr>
              <w:ind w:left="360" w:hanging="900"/>
              <w:jc w:val="center"/>
            </w:pPr>
            <w:r>
              <w:rPr>
                <w:b/>
              </w:rPr>
              <w:t xml:space="preserve">         ø</w:t>
            </w:r>
            <w:r w:rsidRPr="007F33AF">
              <w:rPr>
                <w:b/>
              </w:rPr>
              <w:t>82</w:t>
            </w:r>
          </w:p>
        </w:tc>
        <w:tc>
          <w:tcPr>
            <w:tcW w:w="885" w:type="dxa"/>
            <w:shd w:val="clear" w:color="auto" w:fill="auto"/>
          </w:tcPr>
          <w:p w:rsidR="00C45743" w:rsidRPr="004301E8" w:rsidRDefault="00C45743" w:rsidP="00C45743">
            <w:pPr>
              <w:ind w:left="360" w:hanging="900"/>
              <w:jc w:val="center"/>
              <w:rPr>
                <w:b/>
              </w:rPr>
            </w:pPr>
            <w:r>
              <w:rPr>
                <w:b/>
              </w:rPr>
              <w:t xml:space="preserve">       ø</w:t>
            </w:r>
            <w:r w:rsidRPr="004301E8">
              <w:rPr>
                <w:b/>
              </w:rPr>
              <w:t>79</w:t>
            </w:r>
          </w:p>
        </w:tc>
        <w:tc>
          <w:tcPr>
            <w:tcW w:w="1276" w:type="dxa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64 019,66</w:t>
            </w:r>
          </w:p>
        </w:tc>
        <w:tc>
          <w:tcPr>
            <w:tcW w:w="1275" w:type="dxa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55 211,48</w:t>
            </w:r>
          </w:p>
        </w:tc>
        <w:tc>
          <w:tcPr>
            <w:tcW w:w="1418" w:type="dxa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113 361,75</w:t>
            </w:r>
          </w:p>
        </w:tc>
        <w:tc>
          <w:tcPr>
            <w:tcW w:w="1395" w:type="dxa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105 744,69</w:t>
            </w:r>
          </w:p>
        </w:tc>
        <w:tc>
          <w:tcPr>
            <w:tcW w:w="1332" w:type="dxa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177 381,41</w:t>
            </w:r>
          </w:p>
        </w:tc>
        <w:tc>
          <w:tcPr>
            <w:tcW w:w="1418" w:type="dxa"/>
          </w:tcPr>
          <w:p w:rsidR="00C45743" w:rsidRPr="00402552" w:rsidRDefault="00C45743" w:rsidP="00C45743">
            <w:pPr>
              <w:jc w:val="center"/>
              <w:rPr>
                <w:b/>
              </w:rPr>
            </w:pPr>
            <w:r>
              <w:rPr>
                <w:b/>
              </w:rPr>
              <w:t>160 956,17</w:t>
            </w:r>
          </w:p>
        </w:tc>
      </w:tr>
    </w:tbl>
    <w:p w:rsidR="00E24606" w:rsidRDefault="00E24606" w:rsidP="00E24606">
      <w:pPr>
        <w:spacing w:line="360" w:lineRule="auto"/>
        <w:jc w:val="both"/>
      </w:pPr>
    </w:p>
    <w:p w:rsidR="00E24606" w:rsidRDefault="00E24606" w:rsidP="00E24606">
      <w:pPr>
        <w:ind w:firstLine="708"/>
        <w:jc w:val="both"/>
        <w:rPr>
          <w:b/>
        </w:rPr>
      </w:pPr>
    </w:p>
    <w:p w:rsidR="00C45743" w:rsidRDefault="00C45743" w:rsidP="00E24606">
      <w:pPr>
        <w:ind w:firstLine="708"/>
        <w:jc w:val="both"/>
        <w:rPr>
          <w:b/>
        </w:rPr>
      </w:pPr>
    </w:p>
    <w:p w:rsidR="00C45743" w:rsidRDefault="00C45743" w:rsidP="00E24606">
      <w:pPr>
        <w:ind w:firstLine="708"/>
        <w:jc w:val="both"/>
        <w:rPr>
          <w:b/>
        </w:rPr>
      </w:pPr>
    </w:p>
    <w:p w:rsidR="00E24606" w:rsidRDefault="00E24606" w:rsidP="00E24606">
      <w:pPr>
        <w:ind w:firstLine="708"/>
        <w:jc w:val="both"/>
        <w:rPr>
          <w:b/>
        </w:rPr>
      </w:pPr>
    </w:p>
    <w:p w:rsidR="00E24606" w:rsidRDefault="00E24606" w:rsidP="00E24606">
      <w:pPr>
        <w:ind w:firstLine="708"/>
        <w:jc w:val="both"/>
      </w:pPr>
      <w:r w:rsidRPr="00500D8F">
        <w:rPr>
          <w:b/>
        </w:rPr>
        <w:t>V roku 201</w:t>
      </w:r>
      <w:r>
        <w:rPr>
          <w:b/>
        </w:rPr>
        <w:t xml:space="preserve">8 </w:t>
      </w:r>
      <w:r>
        <w:t xml:space="preserve">sa v obidvoch kategóriách pracovalo s finančnou hodnotou </w:t>
      </w:r>
      <w:r w:rsidRPr="007B66D5">
        <w:t>1</w:t>
      </w:r>
      <w:r>
        <w:t>60 956,17</w:t>
      </w:r>
      <w:r w:rsidRPr="007B66D5">
        <w:t xml:space="preserve"> €,</w:t>
      </w:r>
      <w:r w:rsidR="00686695">
        <w:t xml:space="preserve"> </w:t>
      </w:r>
      <w:r w:rsidRPr="00F01A87">
        <w:t>poskytovanou</w:t>
      </w:r>
      <w:r w:rsidR="00686695">
        <w:t xml:space="preserve"> </w:t>
      </w:r>
      <w:r w:rsidRPr="00D3618A">
        <w:t xml:space="preserve">v priemere </w:t>
      </w:r>
      <w:r>
        <w:t>79</w:t>
      </w:r>
      <w:r w:rsidR="00686695">
        <w:t xml:space="preserve"> </w:t>
      </w:r>
      <w:r>
        <w:t>klientom. Pri porovnaní finančného výkonu inštitútu bol v roku 2018, oproti roku 2017,</w:t>
      </w:r>
      <w:r w:rsidR="00686695">
        <w:t xml:space="preserve"> </w:t>
      </w:r>
      <w:r>
        <w:t>pokles</w:t>
      </w:r>
      <w:r w:rsidRPr="007B66D5">
        <w:t xml:space="preserve"> o</w:t>
      </w:r>
      <w:r>
        <w:t> 9,25</w:t>
      </w:r>
      <w:r w:rsidRPr="007B66D5">
        <w:t xml:space="preserve"> %.</w:t>
      </w:r>
    </w:p>
    <w:p w:rsidR="00E24606" w:rsidRDefault="00E24606" w:rsidP="00E24606">
      <w:pPr>
        <w:ind w:firstLine="708"/>
        <w:jc w:val="both"/>
      </w:pPr>
      <w:r>
        <w:t>Priebežné uvoľňovanie rodín z inštitútu vychádzalo zo zániku dôvodu ich  zaradenia podmieneného sanáciou rodiny, ukončením výchovného opatrenia a u záškoláctva ukončením povinnej školskej dochádzky alebo jej zlepšením.</w:t>
      </w:r>
    </w:p>
    <w:p w:rsidR="00E24606" w:rsidRPr="00BB4ED0" w:rsidRDefault="00E24606" w:rsidP="00E24606">
      <w:pPr>
        <w:ind w:firstLine="708"/>
        <w:jc w:val="both"/>
        <w:rPr>
          <w:color w:val="000000"/>
        </w:rPr>
      </w:pPr>
      <w:r w:rsidRPr="00BB4ED0">
        <w:rPr>
          <w:color w:val="000000"/>
        </w:rPr>
        <w:t>Z údajov v tabuľke č. 1 vyplýva, že v porovnaní s rokom 201</w:t>
      </w:r>
      <w:r>
        <w:rPr>
          <w:color w:val="000000"/>
        </w:rPr>
        <w:t>7</w:t>
      </w:r>
      <w:r w:rsidRPr="00BB4ED0">
        <w:rPr>
          <w:color w:val="000000"/>
        </w:rPr>
        <w:t xml:space="preserve"> v roku 201</w:t>
      </w:r>
      <w:r>
        <w:rPr>
          <w:color w:val="000000"/>
        </w:rPr>
        <w:t>8</w:t>
      </w:r>
      <w:r w:rsidRPr="00BB4ED0">
        <w:rPr>
          <w:color w:val="000000"/>
        </w:rPr>
        <w:t xml:space="preserve"> došlo vo výkone osobitného príjemcu  k</w:t>
      </w:r>
      <w:r>
        <w:rPr>
          <w:color w:val="000000"/>
        </w:rPr>
        <w:t xml:space="preserve"> miernemu poklesu ako počtu klientov, tak aj k poklesu </w:t>
      </w:r>
      <w:r w:rsidRPr="00BB4ED0">
        <w:rPr>
          <w:color w:val="000000"/>
        </w:rPr>
        <w:t xml:space="preserve">výšky dávok </w:t>
      </w:r>
      <w:r>
        <w:rPr>
          <w:color w:val="000000"/>
        </w:rPr>
        <w:t xml:space="preserve">poukázaných na inštitút </w:t>
      </w:r>
      <w:proofErr w:type="spellStart"/>
      <w:r>
        <w:rPr>
          <w:color w:val="000000"/>
        </w:rPr>
        <w:t>ÚPSVaR</w:t>
      </w:r>
      <w:proofErr w:type="spellEnd"/>
      <w:r>
        <w:rPr>
          <w:color w:val="000000"/>
        </w:rPr>
        <w:t>, čo považujeme za pozitívne.</w:t>
      </w:r>
    </w:p>
    <w:p w:rsidR="00E24606" w:rsidRDefault="00E24606" w:rsidP="00E24606">
      <w:pPr>
        <w:jc w:val="both"/>
      </w:pPr>
    </w:p>
    <w:p w:rsidR="00E24606" w:rsidRDefault="00E24606" w:rsidP="00E24606">
      <w:pPr>
        <w:ind w:firstLine="708"/>
        <w:jc w:val="both"/>
      </w:pPr>
      <w:r>
        <w:t xml:space="preserve">V rámci sociálnej práce a pomoci sociálne oddelenie vykonáva koordináciu platieb spojených s bývaním nielen u klientov inštitútu, ale aj u obyvateľov ulice Továrenskej, SNP a mestskej časti </w:t>
      </w:r>
      <w:proofErr w:type="spellStart"/>
      <w:r>
        <w:t>Podsadek</w:t>
      </w:r>
      <w:proofErr w:type="spellEnd"/>
      <w:r>
        <w:t>,  ktorí nie sú jeho súčasťou. Touto aktivitou sú rodiny preventívne chránené pred možnou stratou bývania a následného umiestnenia maloletých detí v sociálnych zariadeniach, ale aj začatím exekútorských konaní.</w:t>
      </w:r>
    </w:p>
    <w:p w:rsidR="00E24606" w:rsidRDefault="00E24606" w:rsidP="00E24606">
      <w:pPr>
        <w:jc w:val="both"/>
      </w:pPr>
    </w:p>
    <w:p w:rsidR="00C45743" w:rsidRDefault="00C45743" w:rsidP="00E24606">
      <w:pPr>
        <w:jc w:val="both"/>
      </w:pPr>
    </w:p>
    <w:p w:rsidR="00C45743" w:rsidRDefault="00C45743" w:rsidP="00E24606">
      <w:pPr>
        <w:jc w:val="both"/>
      </w:pPr>
    </w:p>
    <w:p w:rsidR="00C45743" w:rsidRDefault="00C45743" w:rsidP="00E24606">
      <w:pPr>
        <w:jc w:val="both"/>
      </w:pPr>
    </w:p>
    <w:p w:rsidR="00C45743" w:rsidRDefault="00C45743" w:rsidP="00E24606">
      <w:pPr>
        <w:jc w:val="both"/>
      </w:pPr>
    </w:p>
    <w:p w:rsidR="00C45743" w:rsidRDefault="00C45743" w:rsidP="00E24606">
      <w:pPr>
        <w:jc w:val="both"/>
      </w:pPr>
    </w:p>
    <w:p w:rsidR="00C45743" w:rsidRDefault="00C45743" w:rsidP="00E24606">
      <w:pPr>
        <w:jc w:val="both"/>
      </w:pPr>
    </w:p>
    <w:p w:rsidR="00E24606" w:rsidRDefault="00E24606" w:rsidP="00E24606">
      <w:pPr>
        <w:jc w:val="both"/>
        <w:rPr>
          <w:sz w:val="20"/>
          <w:szCs w:val="20"/>
        </w:rPr>
      </w:pPr>
    </w:p>
    <w:p w:rsidR="009112EC" w:rsidRDefault="009112EC" w:rsidP="00E24606">
      <w:pPr>
        <w:jc w:val="both"/>
        <w:rPr>
          <w:sz w:val="20"/>
          <w:szCs w:val="20"/>
        </w:rPr>
      </w:pPr>
    </w:p>
    <w:p w:rsidR="00E24606" w:rsidRDefault="00E24606" w:rsidP="00E24606">
      <w:pPr>
        <w:jc w:val="both"/>
        <w:rPr>
          <w:sz w:val="20"/>
          <w:szCs w:val="20"/>
        </w:rPr>
      </w:pPr>
      <w:r w:rsidRPr="00683863">
        <w:rPr>
          <w:sz w:val="20"/>
          <w:szCs w:val="20"/>
        </w:rPr>
        <w:t xml:space="preserve">Tab. č. 2: </w:t>
      </w:r>
      <w:r>
        <w:rPr>
          <w:sz w:val="20"/>
          <w:szCs w:val="20"/>
        </w:rPr>
        <w:t>P</w:t>
      </w:r>
      <w:r w:rsidRPr="00683863">
        <w:rPr>
          <w:sz w:val="20"/>
          <w:szCs w:val="20"/>
        </w:rPr>
        <w:t xml:space="preserve">rehľad </w:t>
      </w:r>
      <w:r>
        <w:rPr>
          <w:sz w:val="20"/>
          <w:szCs w:val="20"/>
        </w:rPr>
        <w:t>platieb</w:t>
      </w:r>
      <w:r w:rsidRPr="00683863">
        <w:rPr>
          <w:sz w:val="20"/>
          <w:szCs w:val="20"/>
        </w:rPr>
        <w:t xml:space="preserve"> v roku 201</w:t>
      </w:r>
      <w:r>
        <w:rPr>
          <w:sz w:val="20"/>
          <w:szCs w:val="20"/>
        </w:rPr>
        <w:t>8</w:t>
      </w:r>
    </w:p>
    <w:p w:rsidR="00E24606" w:rsidRDefault="00E24606" w:rsidP="00E24606">
      <w:pPr>
        <w:jc w:val="both"/>
        <w:rPr>
          <w:sz w:val="20"/>
          <w:szCs w:val="20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7"/>
        <w:gridCol w:w="1418"/>
        <w:gridCol w:w="1701"/>
        <w:gridCol w:w="1283"/>
        <w:gridCol w:w="1410"/>
      </w:tblGrid>
      <w:tr w:rsidR="00E24606" w:rsidTr="00E24606">
        <w:tc>
          <w:tcPr>
            <w:tcW w:w="1418" w:type="dxa"/>
            <w:shd w:val="clear" w:color="auto" w:fill="D9D9D9"/>
          </w:tcPr>
          <w:p w:rsidR="00E24606" w:rsidRDefault="00E24606" w:rsidP="004820AC">
            <w:pPr>
              <w:jc w:val="center"/>
            </w:pPr>
            <w:r>
              <w:t>OBDOBIE</w:t>
            </w:r>
          </w:p>
        </w:tc>
        <w:tc>
          <w:tcPr>
            <w:tcW w:w="1418" w:type="dxa"/>
            <w:shd w:val="clear" w:color="auto" w:fill="D9D9D9"/>
          </w:tcPr>
          <w:p w:rsidR="00E24606" w:rsidRDefault="00E24606" w:rsidP="004820AC">
            <w:pPr>
              <w:jc w:val="center"/>
            </w:pPr>
            <w:r>
              <w:t>SIPO</w:t>
            </w:r>
          </w:p>
          <w:p w:rsidR="00E24606" w:rsidRDefault="00E24606" w:rsidP="004820AC">
            <w:pPr>
              <w:jc w:val="center"/>
            </w:pPr>
            <w:r w:rsidRPr="00781D7A">
              <w:rPr>
                <w:sz w:val="16"/>
                <w:szCs w:val="16"/>
              </w:rPr>
              <w:t>(pošta)</w:t>
            </w:r>
          </w:p>
        </w:tc>
        <w:tc>
          <w:tcPr>
            <w:tcW w:w="1417" w:type="dxa"/>
            <w:shd w:val="clear" w:color="auto" w:fill="D9D9D9"/>
          </w:tcPr>
          <w:p w:rsidR="00E24606" w:rsidRDefault="00E24606" w:rsidP="004820AC">
            <w:pPr>
              <w:jc w:val="center"/>
            </w:pPr>
            <w:r>
              <w:t>NÁJOM</w:t>
            </w:r>
          </w:p>
          <w:p w:rsidR="00E24606" w:rsidRPr="00781D7A" w:rsidRDefault="00E24606" w:rsidP="004820AC">
            <w:pPr>
              <w:jc w:val="center"/>
              <w:rPr>
                <w:sz w:val="16"/>
                <w:szCs w:val="16"/>
              </w:rPr>
            </w:pPr>
            <w:r w:rsidRPr="00781D7A">
              <w:rPr>
                <w:sz w:val="16"/>
                <w:szCs w:val="16"/>
              </w:rPr>
              <w:t>(</w:t>
            </w:r>
            <w:proofErr w:type="spellStart"/>
            <w:r w:rsidRPr="00781D7A">
              <w:rPr>
                <w:sz w:val="16"/>
                <w:szCs w:val="16"/>
              </w:rPr>
              <w:t>Slobyterm</w:t>
            </w:r>
            <w:proofErr w:type="spellEnd"/>
            <w:r w:rsidRPr="00781D7A">
              <w:rPr>
                <w:sz w:val="16"/>
                <w:szCs w:val="16"/>
              </w:rPr>
              <w:t>)</w:t>
            </w:r>
          </w:p>
        </w:tc>
        <w:tc>
          <w:tcPr>
            <w:tcW w:w="1418" w:type="dxa"/>
            <w:shd w:val="clear" w:color="auto" w:fill="D9D9D9"/>
          </w:tcPr>
          <w:p w:rsidR="00E24606" w:rsidRDefault="00E24606" w:rsidP="004820AC">
            <w:pPr>
              <w:jc w:val="center"/>
            </w:pPr>
            <w:r>
              <w:t>BÝVANIE</w:t>
            </w:r>
          </w:p>
          <w:p w:rsidR="00E24606" w:rsidRPr="003D0618" w:rsidRDefault="00E24606" w:rsidP="004820AC">
            <w:pPr>
              <w:jc w:val="center"/>
              <w:rPr>
                <w:sz w:val="16"/>
                <w:szCs w:val="16"/>
              </w:rPr>
            </w:pPr>
            <w:r w:rsidRPr="003D0618">
              <w:rPr>
                <w:sz w:val="16"/>
                <w:szCs w:val="16"/>
              </w:rPr>
              <w:t>(</w:t>
            </w:r>
            <w:proofErr w:type="spellStart"/>
            <w:r w:rsidRPr="003D0618">
              <w:rPr>
                <w:sz w:val="16"/>
                <w:szCs w:val="16"/>
              </w:rPr>
              <w:t>MsÚ-pokladňa</w:t>
            </w:r>
            <w:proofErr w:type="spellEnd"/>
            <w:r>
              <w:rPr>
                <w:sz w:val="16"/>
                <w:szCs w:val="16"/>
              </w:rPr>
              <w:t>, Továrenská ul.</w:t>
            </w:r>
            <w:r w:rsidRPr="003D0618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/>
          </w:tcPr>
          <w:p w:rsidR="00E24606" w:rsidRPr="00997714" w:rsidRDefault="00E24606" w:rsidP="004820AC">
            <w:pPr>
              <w:jc w:val="center"/>
            </w:pPr>
            <w:r w:rsidRPr="00997714">
              <w:rPr>
                <w:sz w:val="22"/>
                <w:szCs w:val="22"/>
              </w:rPr>
              <w:t>KOMUNÁLNY ODPAD</w:t>
            </w:r>
          </w:p>
        </w:tc>
        <w:tc>
          <w:tcPr>
            <w:tcW w:w="1283" w:type="dxa"/>
            <w:shd w:val="clear" w:color="auto" w:fill="D9D9D9"/>
          </w:tcPr>
          <w:p w:rsidR="00E24606" w:rsidRDefault="00E24606" w:rsidP="004820AC">
            <w:pPr>
              <w:jc w:val="center"/>
            </w:pPr>
            <w:r>
              <w:t>INÉ</w:t>
            </w:r>
          </w:p>
        </w:tc>
        <w:tc>
          <w:tcPr>
            <w:tcW w:w="1410" w:type="dxa"/>
            <w:shd w:val="clear" w:color="auto" w:fill="D9D9D9"/>
          </w:tcPr>
          <w:p w:rsidR="00E24606" w:rsidRDefault="00E24606" w:rsidP="004820AC">
            <w:pPr>
              <w:jc w:val="center"/>
            </w:pPr>
            <w:r>
              <w:t>SPOLU</w:t>
            </w:r>
          </w:p>
          <w:p w:rsidR="00E24606" w:rsidRDefault="00E24606" w:rsidP="004820AC">
            <w:pPr>
              <w:jc w:val="center"/>
            </w:pPr>
            <w:r>
              <w:t>v €</w:t>
            </w:r>
          </w:p>
        </w:tc>
      </w:tr>
      <w:tr w:rsidR="00E24606" w:rsidTr="00E24606">
        <w:tc>
          <w:tcPr>
            <w:tcW w:w="1418" w:type="dxa"/>
            <w:shd w:val="clear" w:color="auto" w:fill="D9D9D9"/>
          </w:tcPr>
          <w:p w:rsidR="00E24606" w:rsidRDefault="00E24606" w:rsidP="004820AC">
            <w:pPr>
              <w:jc w:val="both"/>
            </w:pPr>
            <w:r>
              <w:t>1. štvrťrok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3 248,25 €</w:t>
            </w:r>
          </w:p>
        </w:tc>
        <w:tc>
          <w:tcPr>
            <w:tcW w:w="1417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2 855,68 €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852,68 €</w:t>
            </w:r>
          </w:p>
        </w:tc>
        <w:tc>
          <w:tcPr>
            <w:tcW w:w="1701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3 933,28 €</w:t>
            </w:r>
          </w:p>
        </w:tc>
        <w:tc>
          <w:tcPr>
            <w:tcW w:w="1283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648,86 €</w:t>
            </w:r>
          </w:p>
        </w:tc>
        <w:tc>
          <w:tcPr>
            <w:tcW w:w="1410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11 538,75 €</w:t>
            </w:r>
          </w:p>
        </w:tc>
      </w:tr>
      <w:tr w:rsidR="00E24606" w:rsidTr="00E24606">
        <w:tc>
          <w:tcPr>
            <w:tcW w:w="1418" w:type="dxa"/>
            <w:shd w:val="clear" w:color="auto" w:fill="D9D9D9"/>
          </w:tcPr>
          <w:p w:rsidR="00E24606" w:rsidRDefault="00E24606" w:rsidP="004820AC">
            <w:pPr>
              <w:jc w:val="both"/>
            </w:pPr>
            <w:r>
              <w:t>2. štvrťrok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2 524,86 €</w:t>
            </w:r>
          </w:p>
        </w:tc>
        <w:tc>
          <w:tcPr>
            <w:tcW w:w="1417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2 807,84 €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944,19 €</w:t>
            </w:r>
          </w:p>
        </w:tc>
        <w:tc>
          <w:tcPr>
            <w:tcW w:w="1701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4 154,57 €</w:t>
            </w:r>
          </w:p>
        </w:tc>
        <w:tc>
          <w:tcPr>
            <w:tcW w:w="1283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378,80 €</w:t>
            </w:r>
          </w:p>
        </w:tc>
        <w:tc>
          <w:tcPr>
            <w:tcW w:w="1410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10 810,26 €</w:t>
            </w:r>
          </w:p>
        </w:tc>
      </w:tr>
      <w:tr w:rsidR="00E24606" w:rsidTr="00E24606">
        <w:tc>
          <w:tcPr>
            <w:tcW w:w="1418" w:type="dxa"/>
            <w:shd w:val="clear" w:color="auto" w:fill="D9D9D9"/>
          </w:tcPr>
          <w:p w:rsidR="00E24606" w:rsidRDefault="00E24606" w:rsidP="004820AC">
            <w:pPr>
              <w:jc w:val="both"/>
            </w:pPr>
            <w:r>
              <w:t>3. štvrťrok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3 410,56 €</w:t>
            </w:r>
          </w:p>
        </w:tc>
        <w:tc>
          <w:tcPr>
            <w:tcW w:w="1417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2 623,70 €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972,90 €</w:t>
            </w:r>
          </w:p>
        </w:tc>
        <w:tc>
          <w:tcPr>
            <w:tcW w:w="1701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4 264,27 €</w:t>
            </w:r>
          </w:p>
        </w:tc>
        <w:tc>
          <w:tcPr>
            <w:tcW w:w="1283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513,75 €</w:t>
            </w:r>
          </w:p>
        </w:tc>
        <w:tc>
          <w:tcPr>
            <w:tcW w:w="1410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11 785,18 €</w:t>
            </w:r>
          </w:p>
        </w:tc>
      </w:tr>
      <w:tr w:rsidR="00E24606" w:rsidTr="00E24606">
        <w:tc>
          <w:tcPr>
            <w:tcW w:w="1418" w:type="dxa"/>
            <w:shd w:val="clear" w:color="auto" w:fill="D9D9D9"/>
          </w:tcPr>
          <w:p w:rsidR="00E24606" w:rsidRDefault="00E24606" w:rsidP="004820AC">
            <w:pPr>
              <w:jc w:val="both"/>
            </w:pPr>
            <w:r>
              <w:t>4. štvrťrok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3 469,57 €</w:t>
            </w:r>
          </w:p>
        </w:tc>
        <w:tc>
          <w:tcPr>
            <w:tcW w:w="1417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3 149,00 €</w:t>
            </w:r>
          </w:p>
        </w:tc>
        <w:tc>
          <w:tcPr>
            <w:tcW w:w="1418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787,94 €</w:t>
            </w:r>
          </w:p>
        </w:tc>
        <w:tc>
          <w:tcPr>
            <w:tcW w:w="1701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3 812,05 €</w:t>
            </w:r>
          </w:p>
        </w:tc>
        <w:tc>
          <w:tcPr>
            <w:tcW w:w="1283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409,80 €</w:t>
            </w:r>
          </w:p>
        </w:tc>
        <w:tc>
          <w:tcPr>
            <w:tcW w:w="1410" w:type="dxa"/>
            <w:shd w:val="clear" w:color="auto" w:fill="auto"/>
          </w:tcPr>
          <w:p w:rsidR="00E24606" w:rsidRDefault="00E24606" w:rsidP="004820AC">
            <w:pPr>
              <w:jc w:val="right"/>
            </w:pPr>
            <w:r>
              <w:t>11 628,36 €</w:t>
            </w:r>
          </w:p>
        </w:tc>
      </w:tr>
      <w:tr w:rsidR="00E24606" w:rsidTr="00E24606">
        <w:tc>
          <w:tcPr>
            <w:tcW w:w="1418" w:type="dxa"/>
            <w:shd w:val="clear" w:color="auto" w:fill="D9D9D9"/>
          </w:tcPr>
          <w:p w:rsidR="00E24606" w:rsidRPr="00A3543C" w:rsidRDefault="00E24606" w:rsidP="004820AC">
            <w:pPr>
              <w:jc w:val="both"/>
              <w:rPr>
                <w:b/>
              </w:rPr>
            </w:pPr>
            <w:r w:rsidRPr="00A3543C">
              <w:rPr>
                <w:b/>
              </w:rPr>
              <w:t>SPOLU</w:t>
            </w:r>
          </w:p>
        </w:tc>
        <w:tc>
          <w:tcPr>
            <w:tcW w:w="1418" w:type="dxa"/>
            <w:shd w:val="clear" w:color="auto" w:fill="auto"/>
          </w:tcPr>
          <w:p w:rsidR="00E24606" w:rsidRPr="00E52B63" w:rsidRDefault="00E24606" w:rsidP="004820AC">
            <w:pPr>
              <w:jc w:val="right"/>
              <w:rPr>
                <w:b/>
              </w:rPr>
            </w:pPr>
            <w:r>
              <w:rPr>
                <w:b/>
              </w:rPr>
              <w:t>12 653,24 €</w:t>
            </w:r>
          </w:p>
        </w:tc>
        <w:tc>
          <w:tcPr>
            <w:tcW w:w="1417" w:type="dxa"/>
            <w:shd w:val="clear" w:color="auto" w:fill="auto"/>
          </w:tcPr>
          <w:p w:rsidR="00E24606" w:rsidRPr="00E52B63" w:rsidRDefault="00E24606" w:rsidP="004820AC">
            <w:pPr>
              <w:jc w:val="right"/>
              <w:rPr>
                <w:b/>
              </w:rPr>
            </w:pPr>
            <w:r>
              <w:rPr>
                <w:b/>
              </w:rPr>
              <w:t>11 436,22 €</w:t>
            </w:r>
          </w:p>
        </w:tc>
        <w:tc>
          <w:tcPr>
            <w:tcW w:w="1418" w:type="dxa"/>
            <w:shd w:val="clear" w:color="auto" w:fill="auto"/>
          </w:tcPr>
          <w:p w:rsidR="00E24606" w:rsidRPr="00E52B63" w:rsidRDefault="00E24606" w:rsidP="004820AC">
            <w:pPr>
              <w:jc w:val="right"/>
              <w:rPr>
                <w:b/>
              </w:rPr>
            </w:pPr>
            <w:r>
              <w:rPr>
                <w:b/>
              </w:rPr>
              <w:t>3 557,71 €</w:t>
            </w:r>
          </w:p>
        </w:tc>
        <w:tc>
          <w:tcPr>
            <w:tcW w:w="1701" w:type="dxa"/>
            <w:shd w:val="clear" w:color="auto" w:fill="auto"/>
          </w:tcPr>
          <w:p w:rsidR="00E24606" w:rsidRPr="00E52B63" w:rsidRDefault="00E24606" w:rsidP="004820AC">
            <w:pPr>
              <w:jc w:val="right"/>
              <w:rPr>
                <w:b/>
              </w:rPr>
            </w:pPr>
            <w:r>
              <w:rPr>
                <w:b/>
              </w:rPr>
              <w:t>16 164,17 €</w:t>
            </w:r>
          </w:p>
        </w:tc>
        <w:tc>
          <w:tcPr>
            <w:tcW w:w="1283" w:type="dxa"/>
            <w:shd w:val="clear" w:color="auto" w:fill="auto"/>
          </w:tcPr>
          <w:p w:rsidR="00E24606" w:rsidRPr="00E52B63" w:rsidRDefault="00E24606" w:rsidP="004820AC">
            <w:pPr>
              <w:jc w:val="right"/>
              <w:rPr>
                <w:b/>
              </w:rPr>
            </w:pPr>
            <w:r>
              <w:rPr>
                <w:b/>
              </w:rPr>
              <w:t>1 951,21 €</w:t>
            </w:r>
          </w:p>
        </w:tc>
        <w:tc>
          <w:tcPr>
            <w:tcW w:w="1410" w:type="dxa"/>
            <w:shd w:val="clear" w:color="auto" w:fill="auto"/>
          </w:tcPr>
          <w:p w:rsidR="00E24606" w:rsidRPr="00E52B63" w:rsidRDefault="00E24606" w:rsidP="004820AC">
            <w:pPr>
              <w:jc w:val="right"/>
              <w:rPr>
                <w:b/>
              </w:rPr>
            </w:pPr>
            <w:r>
              <w:rPr>
                <w:b/>
              </w:rPr>
              <w:t>45 762,55 €</w:t>
            </w:r>
          </w:p>
        </w:tc>
      </w:tr>
    </w:tbl>
    <w:p w:rsidR="00E24606" w:rsidRDefault="00E24606" w:rsidP="00E24606">
      <w:pPr>
        <w:jc w:val="both"/>
        <w:rPr>
          <w:sz w:val="20"/>
          <w:szCs w:val="20"/>
        </w:rPr>
      </w:pPr>
    </w:p>
    <w:p w:rsidR="00E24606" w:rsidRDefault="00E24606" w:rsidP="00E24606">
      <w:pPr>
        <w:jc w:val="both"/>
        <w:rPr>
          <w:sz w:val="20"/>
          <w:szCs w:val="20"/>
        </w:rPr>
      </w:pPr>
    </w:p>
    <w:p w:rsidR="00E24606" w:rsidRDefault="00E24606" w:rsidP="00E24606">
      <w:pPr>
        <w:rPr>
          <w:b/>
          <w:u w:val="single"/>
        </w:rPr>
      </w:pPr>
    </w:p>
    <w:p w:rsidR="002A10C3" w:rsidRDefault="002A10C3" w:rsidP="002A10C3">
      <w:pPr>
        <w:tabs>
          <w:tab w:val="left" w:pos="2085"/>
        </w:tabs>
      </w:pPr>
      <w:r>
        <w:tab/>
      </w:r>
    </w:p>
    <w:p w:rsidR="00E24606" w:rsidRPr="00E80E4E" w:rsidRDefault="00E24606" w:rsidP="00E24606">
      <w:pPr>
        <w:rPr>
          <w:b/>
        </w:rPr>
      </w:pPr>
      <w:r w:rsidRPr="00E80E4E">
        <w:rPr>
          <w:b/>
        </w:rPr>
        <w:t>Dotácie pre žiakov z rodín v hmotnej núdzi, resp. v životnom minime</w:t>
      </w:r>
    </w:p>
    <w:p w:rsidR="00E24606" w:rsidRPr="00E80E4E" w:rsidRDefault="00E24606" w:rsidP="00E24606"/>
    <w:p w:rsidR="00E24606" w:rsidRDefault="00E24606" w:rsidP="00E24606">
      <w:pPr>
        <w:ind w:firstLine="720"/>
        <w:jc w:val="both"/>
      </w:pPr>
      <w:r>
        <w:t xml:space="preserve">V zmysle Zákona 544/2010 o dotáciách v pôsobnosti </w:t>
      </w:r>
      <w:proofErr w:type="spellStart"/>
      <w:r>
        <w:t>MPSVaR</w:t>
      </w:r>
      <w:proofErr w:type="spellEnd"/>
      <w:r>
        <w:t xml:space="preserve"> SR sa v hodnotenom roku na oddelení soc. vecí vykonávala</w:t>
      </w:r>
      <w:r w:rsidRPr="00BE1CC2">
        <w:t xml:space="preserve"> agenda dotácií</w:t>
      </w:r>
      <w:r>
        <w:t xml:space="preserve"> pre žiakov z rodín v hmotnej núdzi a žiakov</w:t>
      </w:r>
      <w:r w:rsidRPr="00BE1CC2">
        <w:t xml:space="preserve"> z rodín, u ktorých životné minimum </w:t>
      </w:r>
      <w:r>
        <w:t>nedosahuje štátom stanovenú výšku a</w:t>
      </w:r>
      <w:r w:rsidRPr="00BE1CC2">
        <w:t xml:space="preserve"> ktoré navštevujú materské </w:t>
      </w:r>
      <w:r>
        <w:t>a základné školy v m</w:t>
      </w:r>
      <w:r w:rsidRPr="00BE1CC2">
        <w:t>este</w:t>
      </w:r>
      <w:r>
        <w:t xml:space="preserve"> St. Ľubovňa, vrátane Spojenej školy internátnej, zriaďovateľom ktorej je Krajský školský úrad v Prešove. Dotácia je účelovo zameraná na výchovu k stravovacím návykom a na výchovu k plneniu školských povinností.</w:t>
      </w:r>
    </w:p>
    <w:p w:rsidR="00E24606" w:rsidRDefault="00E24606" w:rsidP="00E24606">
      <w:pPr>
        <w:ind w:firstLine="720"/>
        <w:jc w:val="both"/>
        <w:rPr>
          <w:sz w:val="20"/>
          <w:szCs w:val="20"/>
        </w:rPr>
      </w:pPr>
    </w:p>
    <w:p w:rsidR="009112EC" w:rsidRDefault="009112EC" w:rsidP="00E24606">
      <w:pPr>
        <w:ind w:firstLine="720"/>
        <w:jc w:val="both"/>
        <w:rPr>
          <w:sz w:val="20"/>
          <w:szCs w:val="20"/>
        </w:rPr>
      </w:pPr>
    </w:p>
    <w:p w:rsidR="009112EC" w:rsidRDefault="009112EC" w:rsidP="00E24606">
      <w:pPr>
        <w:ind w:firstLine="720"/>
        <w:jc w:val="both"/>
        <w:rPr>
          <w:sz w:val="20"/>
          <w:szCs w:val="20"/>
        </w:rPr>
      </w:pPr>
    </w:p>
    <w:p w:rsidR="009112EC" w:rsidRDefault="009112EC" w:rsidP="00E24606">
      <w:pPr>
        <w:ind w:firstLine="720"/>
        <w:jc w:val="both"/>
        <w:rPr>
          <w:sz w:val="20"/>
          <w:szCs w:val="20"/>
        </w:rPr>
      </w:pPr>
    </w:p>
    <w:p w:rsidR="00E24606" w:rsidRPr="00B55B74" w:rsidRDefault="00E24606" w:rsidP="00E24606">
      <w:pPr>
        <w:spacing w:line="360" w:lineRule="auto"/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3</w:t>
      </w:r>
      <w:r w:rsidRPr="00B55B74">
        <w:rPr>
          <w:sz w:val="20"/>
          <w:szCs w:val="20"/>
        </w:rPr>
        <w:t>: Prehľad dotácií pre deti</w:t>
      </w:r>
      <w:r>
        <w:rPr>
          <w:sz w:val="20"/>
          <w:szCs w:val="20"/>
        </w:rPr>
        <w:t xml:space="preserve"> z rodín v HN, resp. v ŽM v roku 2018 v €</w:t>
      </w:r>
    </w:p>
    <w:tbl>
      <w:tblPr>
        <w:tblpPr w:leftFromText="141" w:rightFromText="141" w:vertAnchor="text" w:horzAnchor="margin" w:tblpY="1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230"/>
        <w:gridCol w:w="1230"/>
        <w:gridCol w:w="1269"/>
        <w:gridCol w:w="1191"/>
        <w:gridCol w:w="1230"/>
        <w:gridCol w:w="1230"/>
      </w:tblGrid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9" w:type="dxa"/>
            <w:gridSpan w:val="3"/>
            <w:shd w:val="clear" w:color="auto" w:fill="D9D9D9" w:themeFill="background1" w:themeFillShade="D9"/>
          </w:tcPr>
          <w:p w:rsidR="00E24606" w:rsidRPr="007A09DB" w:rsidRDefault="00E24606" w:rsidP="004820AC">
            <w:pPr>
              <w:spacing w:line="360" w:lineRule="auto"/>
              <w:jc w:val="center"/>
            </w:pPr>
            <w:r w:rsidRPr="007A09DB">
              <w:rPr>
                <w:b/>
              </w:rPr>
              <w:t>strava (I.-XII.)</w:t>
            </w:r>
            <w:r>
              <w:rPr>
                <w:b/>
              </w:rPr>
              <w:t xml:space="preserve"> v €</w:t>
            </w:r>
          </w:p>
        </w:tc>
        <w:tc>
          <w:tcPr>
            <w:tcW w:w="3651" w:type="dxa"/>
            <w:gridSpan w:val="3"/>
            <w:shd w:val="clear" w:color="auto" w:fill="D9D9D9" w:themeFill="background1" w:themeFillShade="D9"/>
          </w:tcPr>
          <w:p w:rsidR="00E24606" w:rsidRPr="007A09DB" w:rsidRDefault="00686695" w:rsidP="004820AC">
            <w:pPr>
              <w:spacing w:line="360" w:lineRule="auto"/>
              <w:jc w:val="center"/>
            </w:pPr>
            <w:r w:rsidRPr="007A09DB">
              <w:rPr>
                <w:b/>
              </w:rPr>
              <w:t>Š</w:t>
            </w:r>
            <w:r w:rsidR="00E24606" w:rsidRPr="007A09DB">
              <w:rPr>
                <w:b/>
              </w:rPr>
              <w:t>kolské</w:t>
            </w:r>
            <w:r>
              <w:rPr>
                <w:b/>
              </w:rPr>
              <w:t xml:space="preserve"> </w:t>
            </w:r>
            <w:r w:rsidR="00E24606" w:rsidRPr="007A09DB">
              <w:rPr>
                <w:b/>
              </w:rPr>
              <w:t xml:space="preserve">potreby </w:t>
            </w:r>
            <w:r w:rsidR="00E24606">
              <w:rPr>
                <w:b/>
              </w:rPr>
              <w:t>v €</w:t>
            </w:r>
          </w:p>
        </w:tc>
      </w:tr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7A09DB" w:rsidRDefault="00E24606" w:rsidP="004820AC">
            <w:pPr>
              <w:spacing w:line="360" w:lineRule="auto"/>
              <w:jc w:val="center"/>
            </w:pPr>
            <w:r w:rsidRPr="007A09DB">
              <w:rPr>
                <w:b/>
              </w:rPr>
              <w:t>ŠKOLA</w:t>
            </w:r>
          </w:p>
        </w:tc>
        <w:tc>
          <w:tcPr>
            <w:tcW w:w="1230" w:type="dxa"/>
          </w:tcPr>
          <w:p w:rsidR="00E24606" w:rsidRPr="007A09DB" w:rsidRDefault="004820AC" w:rsidP="004820AC">
            <w:pPr>
              <w:spacing w:line="360" w:lineRule="auto"/>
              <w:jc w:val="both"/>
            </w:pPr>
            <w:r w:rsidRPr="007A09DB">
              <w:t>D</w:t>
            </w:r>
            <w:r w:rsidR="00E24606" w:rsidRPr="007A09DB">
              <w:t>otácia</w:t>
            </w:r>
          </w:p>
        </w:tc>
        <w:tc>
          <w:tcPr>
            <w:tcW w:w="1230" w:type="dxa"/>
          </w:tcPr>
          <w:p w:rsidR="00E24606" w:rsidRPr="007A09DB" w:rsidRDefault="00E24606" w:rsidP="004820AC">
            <w:pPr>
              <w:spacing w:line="360" w:lineRule="auto"/>
              <w:jc w:val="both"/>
            </w:pPr>
            <w:r w:rsidRPr="007A09DB">
              <w:t>čerpanie</w:t>
            </w:r>
          </w:p>
        </w:tc>
        <w:tc>
          <w:tcPr>
            <w:tcW w:w="1269" w:type="dxa"/>
          </w:tcPr>
          <w:p w:rsidR="00E24606" w:rsidRPr="007A09DB" w:rsidRDefault="00E24606" w:rsidP="004820AC">
            <w:pPr>
              <w:spacing w:line="360" w:lineRule="auto"/>
              <w:jc w:val="both"/>
            </w:pPr>
            <w:r w:rsidRPr="007A09DB">
              <w:t>zostatok</w:t>
            </w:r>
          </w:p>
        </w:tc>
        <w:tc>
          <w:tcPr>
            <w:tcW w:w="1191" w:type="dxa"/>
          </w:tcPr>
          <w:p w:rsidR="00E24606" w:rsidRPr="007A09DB" w:rsidRDefault="00E24606" w:rsidP="004820AC">
            <w:pPr>
              <w:spacing w:line="360" w:lineRule="auto"/>
              <w:jc w:val="both"/>
            </w:pPr>
            <w:r w:rsidRPr="007A09DB">
              <w:t>dotácia</w:t>
            </w:r>
          </w:p>
        </w:tc>
        <w:tc>
          <w:tcPr>
            <w:tcW w:w="1230" w:type="dxa"/>
          </w:tcPr>
          <w:p w:rsidR="00E24606" w:rsidRPr="007A09DB" w:rsidRDefault="00E24606" w:rsidP="004820AC">
            <w:pPr>
              <w:spacing w:line="360" w:lineRule="auto"/>
              <w:jc w:val="both"/>
            </w:pPr>
            <w:r w:rsidRPr="007A09DB">
              <w:t>čerpanie</w:t>
            </w:r>
          </w:p>
        </w:tc>
        <w:tc>
          <w:tcPr>
            <w:tcW w:w="1230" w:type="dxa"/>
          </w:tcPr>
          <w:p w:rsidR="00E24606" w:rsidRPr="007A09DB" w:rsidRDefault="00E24606" w:rsidP="004820AC">
            <w:pPr>
              <w:spacing w:line="360" w:lineRule="auto"/>
              <w:jc w:val="both"/>
            </w:pPr>
            <w:r w:rsidRPr="007A09DB">
              <w:t>zostatok</w:t>
            </w:r>
          </w:p>
        </w:tc>
      </w:tr>
      <w:tr w:rsidR="00E24606" w:rsidTr="004820AC">
        <w:trPr>
          <w:trHeight w:val="362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Komenského 6</w:t>
            </w:r>
          </w:p>
        </w:tc>
        <w:tc>
          <w:tcPr>
            <w:tcW w:w="1230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772,70</w:t>
            </w:r>
          </w:p>
        </w:tc>
        <w:tc>
          <w:tcPr>
            <w:tcW w:w="1230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727,10</w:t>
            </w:r>
          </w:p>
        </w:tc>
        <w:tc>
          <w:tcPr>
            <w:tcW w:w="1269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Levočská 6</w:t>
            </w:r>
          </w:p>
        </w:tc>
        <w:tc>
          <w:tcPr>
            <w:tcW w:w="1230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392,40</w:t>
            </w:r>
          </w:p>
        </w:tc>
        <w:tc>
          <w:tcPr>
            <w:tcW w:w="1230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371,10</w:t>
            </w:r>
          </w:p>
        </w:tc>
        <w:tc>
          <w:tcPr>
            <w:tcW w:w="1269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Za vodou 14</w:t>
            </w:r>
          </w:p>
        </w:tc>
        <w:tc>
          <w:tcPr>
            <w:tcW w:w="1230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803,20</w:t>
            </w:r>
          </w:p>
        </w:tc>
        <w:tc>
          <w:tcPr>
            <w:tcW w:w="1230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614,40</w:t>
            </w:r>
          </w:p>
        </w:tc>
        <w:tc>
          <w:tcPr>
            <w:tcW w:w="1269" w:type="dxa"/>
          </w:tcPr>
          <w:p w:rsidR="00E24606" w:rsidRPr="00402552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188,80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215,80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215,80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4606" w:rsidTr="004820AC">
        <w:trPr>
          <w:trHeight w:val="362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 xml:space="preserve">ZŠ </w:t>
            </w:r>
            <w:proofErr w:type="spellStart"/>
            <w:r w:rsidRPr="00402552">
              <w:rPr>
                <w:sz w:val="20"/>
                <w:szCs w:val="20"/>
              </w:rPr>
              <w:t>Podsadek</w:t>
            </w:r>
            <w:proofErr w:type="spellEnd"/>
            <w:r w:rsidRPr="00402552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25 927,00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23 839,00</w:t>
            </w:r>
          </w:p>
        </w:tc>
        <w:tc>
          <w:tcPr>
            <w:tcW w:w="1269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2 088,00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4 814,00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4 814,00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ŠZŠ Levočská 22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5 021,49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4 668,69</w:t>
            </w:r>
          </w:p>
        </w:tc>
        <w:tc>
          <w:tcPr>
            <w:tcW w:w="1269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352,80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1 128,80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1 128,80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 xml:space="preserve">MŠ </w:t>
            </w:r>
            <w:proofErr w:type="spellStart"/>
            <w:r w:rsidRPr="00402552">
              <w:rPr>
                <w:sz w:val="20"/>
                <w:szCs w:val="20"/>
              </w:rPr>
              <w:t>Vsetínska</w:t>
            </w:r>
            <w:proofErr w:type="spellEnd"/>
            <w:r w:rsidRPr="00402552">
              <w:rPr>
                <w:sz w:val="20"/>
                <w:szCs w:val="20"/>
              </w:rPr>
              <w:t xml:space="preserve"> 36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9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MŠ Tatranská 21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340,60</w:t>
            </w:r>
          </w:p>
        </w:tc>
        <w:tc>
          <w:tcPr>
            <w:tcW w:w="1230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284,80</w:t>
            </w:r>
          </w:p>
        </w:tc>
        <w:tc>
          <w:tcPr>
            <w:tcW w:w="1269" w:type="dxa"/>
          </w:tcPr>
          <w:p w:rsidR="00E24606" w:rsidRPr="00C71AB6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4606" w:rsidTr="004820AC">
        <w:trPr>
          <w:trHeight w:val="379"/>
        </w:trPr>
        <w:tc>
          <w:tcPr>
            <w:tcW w:w="1908" w:type="dxa"/>
            <w:shd w:val="clear" w:color="auto" w:fill="D9D9D9" w:themeFill="background1" w:themeFillShade="D9"/>
          </w:tcPr>
          <w:p w:rsidR="00E24606" w:rsidRPr="00402552" w:rsidRDefault="00E24606" w:rsidP="004820AC">
            <w:pPr>
              <w:spacing w:line="36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SPOLU </w:t>
            </w:r>
          </w:p>
        </w:tc>
        <w:tc>
          <w:tcPr>
            <w:tcW w:w="1230" w:type="dxa"/>
          </w:tcPr>
          <w:p w:rsidR="00E24606" w:rsidRPr="007A09DB" w:rsidRDefault="00E24606" w:rsidP="004820AC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33 257,39</w:t>
            </w:r>
          </w:p>
        </w:tc>
        <w:tc>
          <w:tcPr>
            <w:tcW w:w="1230" w:type="dxa"/>
          </w:tcPr>
          <w:p w:rsidR="00E24606" w:rsidRPr="007A09DB" w:rsidRDefault="00E24606" w:rsidP="004820AC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30 505,09</w:t>
            </w:r>
          </w:p>
        </w:tc>
        <w:tc>
          <w:tcPr>
            <w:tcW w:w="1269" w:type="dxa"/>
          </w:tcPr>
          <w:p w:rsidR="00E24606" w:rsidRPr="007A09DB" w:rsidRDefault="00E24606" w:rsidP="004820AC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2 752,30</w:t>
            </w:r>
          </w:p>
        </w:tc>
        <w:tc>
          <w:tcPr>
            <w:tcW w:w="1191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6 474,00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6 474,00</w:t>
            </w:r>
          </w:p>
        </w:tc>
        <w:tc>
          <w:tcPr>
            <w:tcW w:w="1230" w:type="dxa"/>
          </w:tcPr>
          <w:p w:rsidR="00E24606" w:rsidRPr="001D7CD1" w:rsidRDefault="00E24606" w:rsidP="004820A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</w:p>
    <w:p w:rsidR="00E24606" w:rsidRDefault="00E24606" w:rsidP="00E24606">
      <w:pPr>
        <w:ind w:firstLine="708"/>
        <w:jc w:val="both"/>
      </w:pPr>
      <w:r>
        <w:t xml:space="preserve">Dotácia </w:t>
      </w:r>
      <w:r w:rsidRPr="00BE1CC2">
        <w:t xml:space="preserve">na </w:t>
      </w:r>
      <w:r>
        <w:t>výchovu k stravovacím návykom sa poskytuje v školskom roku mesačne, a to v maximálnej výške 1,- €/obed. V roku 2018 bola táto dotácia priznaná mesačne v priemere 172 žiakom. V porovnaní s rokom 2017 došlo v roku 2018 k poklesu uplatňovania si nároku na dotáciu na stravu o 29,31 % (v r. 2017 bola dotácia na stravu čerpaná vo výške 43 156,36 €).</w:t>
      </w:r>
    </w:p>
    <w:p w:rsidR="00E24606" w:rsidRDefault="00E24606" w:rsidP="00E24606">
      <w:pPr>
        <w:ind w:firstLine="708"/>
        <w:jc w:val="both"/>
      </w:pPr>
      <w:r>
        <w:t>Dotácia na výchovu k plneniu školských povinností sa poskytuje 2-krát ročne vo výške 16,60 € na žiaka, t. j. 33,20 € ročne na žiaka. V roku 2018 bola táto dotácia poskytnutá</w:t>
      </w:r>
      <w:r w:rsidR="00686695">
        <w:t xml:space="preserve"> </w:t>
      </w:r>
      <w:r>
        <w:t>v priemere 195 žiakom</w:t>
      </w:r>
      <w:r w:rsidRPr="00BE1CC2">
        <w:t>.</w:t>
      </w:r>
      <w:r>
        <w:t xml:space="preserve"> V porovnaní s rokom 2017 došlo v roku 2018 k poklesu uplatňovania si nároku na dotáciu na školské potreby a to o 25,71 % (v roku 2017 bola dotácia na školské potreby čerpaná vo výške 8 715,00 €).</w:t>
      </w:r>
    </w:p>
    <w:p w:rsidR="00E24606" w:rsidRDefault="00E24606" w:rsidP="00E24606">
      <w:pPr>
        <w:jc w:val="both"/>
      </w:pPr>
      <w:r>
        <w:t xml:space="preserve">Nevyčerpané dotácie za hodnotený rok boli vrátené </w:t>
      </w:r>
      <w:proofErr w:type="spellStart"/>
      <w:r>
        <w:t>ÚPSVaR</w:t>
      </w:r>
      <w:proofErr w:type="spellEnd"/>
      <w:r>
        <w:t xml:space="preserve"> 20.12.2018.</w:t>
      </w:r>
    </w:p>
    <w:p w:rsidR="002A10C3" w:rsidRDefault="002A10C3" w:rsidP="00030561"/>
    <w:p w:rsidR="00ED0001" w:rsidRDefault="00ED0001" w:rsidP="00B92B42">
      <w:pPr>
        <w:jc w:val="both"/>
        <w:rPr>
          <w:b/>
          <w:bCs/>
        </w:rPr>
      </w:pPr>
    </w:p>
    <w:p w:rsidR="00B92B42" w:rsidRPr="00BA77D3" w:rsidRDefault="00B92B42" w:rsidP="00B92B42">
      <w:pPr>
        <w:jc w:val="both"/>
        <w:rPr>
          <w:b/>
          <w:bCs/>
        </w:rPr>
      </w:pPr>
      <w:r w:rsidRPr="00BA77D3">
        <w:rPr>
          <w:b/>
          <w:bCs/>
        </w:rPr>
        <w:t xml:space="preserve">Sociálnoprávna ochrana detí </w:t>
      </w:r>
      <w:r w:rsidR="00686695">
        <w:rPr>
          <w:b/>
          <w:bCs/>
        </w:rPr>
        <w:t xml:space="preserve">a plnoletých fyzických osôb, </w:t>
      </w:r>
      <w:r w:rsidRPr="00BA77D3">
        <w:rPr>
          <w:b/>
          <w:bCs/>
        </w:rPr>
        <w:t>sociálna kuratela</w:t>
      </w:r>
    </w:p>
    <w:p w:rsidR="00B92B42" w:rsidRPr="00BA77D3" w:rsidRDefault="00B92B42" w:rsidP="00B92B42">
      <w:pPr>
        <w:jc w:val="both"/>
        <w:rPr>
          <w:b/>
          <w:bCs/>
          <w:u w:val="single"/>
        </w:rPr>
      </w:pPr>
    </w:p>
    <w:p w:rsidR="00B92B42" w:rsidRPr="00BA77D3" w:rsidRDefault="00B92B42" w:rsidP="00B92B42">
      <w:pPr>
        <w:ind w:firstLine="709"/>
        <w:jc w:val="both"/>
      </w:pPr>
      <w:r w:rsidRPr="00BA77D3">
        <w:t xml:space="preserve">Na úseku starostlivosti o rodinu a dieťa Mesto Stará Ľubovňa poskytuje pomoc v naliehavých prípadoch maloletým deťom, ak je život, alebo zdravie dieťaťa v doterajšom prostredí vážne ohrozené. </w:t>
      </w:r>
    </w:p>
    <w:p w:rsidR="00B92B42" w:rsidRPr="00BA77D3" w:rsidRDefault="00B92B42" w:rsidP="00B92B42">
      <w:pPr>
        <w:ind w:firstLine="709"/>
        <w:jc w:val="both"/>
      </w:pPr>
      <w:r w:rsidRPr="00BA77D3">
        <w:t>Spolupracuje s orgánmi štátnej správy pri obnove rodinného prostredia, spolupôsobí pri výkone výchovných opatrení uložených súdom</w:t>
      </w:r>
      <w:r w:rsidR="004820AC">
        <w:t xml:space="preserve"> a úradom práce</w:t>
      </w:r>
      <w:r w:rsidRPr="00BA77D3">
        <w:t>. Vyjadruje sa k spôsobu života občanov, ktorí majú záujem o náhradnú rodinnú starostlivosť a to buď účasťou na súdnych pojednávaniach alebo písomným vyjadrením.</w:t>
      </w:r>
    </w:p>
    <w:p w:rsidR="00F4184D" w:rsidRDefault="00B92B42" w:rsidP="00F4184D">
      <w:pPr>
        <w:ind w:firstLine="709"/>
        <w:jc w:val="both"/>
      </w:pPr>
      <w:r w:rsidRPr="00BA77D3">
        <w:t>Mesto podáva správy orgánom štátnej správy. Každé podanie si vyžaduje šetrenie v</w:t>
      </w:r>
      <w:r w:rsidR="00682D35">
        <w:t> prirodzenom prostredí rodín mal. detí, ale aj plnoletých osôb, ktoré sú pozbavené spôsobilosti v plnom rozsahu</w:t>
      </w:r>
      <w:r w:rsidR="00E24606">
        <w:t>, zhodnotenie priestupkových konaní vedených Mestom Stará Ľubovňa</w:t>
      </w:r>
      <w:r w:rsidR="004820AC">
        <w:t xml:space="preserve"> za uplynulé obdobie</w:t>
      </w:r>
      <w:r w:rsidR="00E24606">
        <w:t xml:space="preserve">, príp. získavanie informácií ďalšími dostupnými spôsobmi. </w:t>
      </w:r>
    </w:p>
    <w:p w:rsidR="00E24606" w:rsidRPr="00BA77D3" w:rsidRDefault="00E24606" w:rsidP="00F4184D">
      <w:pPr>
        <w:ind w:firstLine="709"/>
        <w:jc w:val="both"/>
      </w:pPr>
    </w:p>
    <w:p w:rsidR="00CC2F8C" w:rsidRPr="00BA77D3" w:rsidRDefault="00B92B42" w:rsidP="00F4184D">
      <w:pPr>
        <w:ind w:firstLine="709"/>
        <w:jc w:val="both"/>
      </w:pPr>
      <w:r w:rsidRPr="00BA77D3">
        <w:t>V hodnotenom roku to bolo celkom:</w:t>
      </w:r>
    </w:p>
    <w:p w:rsidR="00955D04" w:rsidRPr="00BA77D3" w:rsidRDefault="00955D04" w:rsidP="00B92B42">
      <w:pPr>
        <w:ind w:firstLine="709"/>
        <w:jc w:val="both"/>
      </w:pPr>
      <w:r w:rsidRPr="00BA77D3">
        <w:t xml:space="preserve">50 správ o nesvojprávnych na základe vyžiadania súdu, </w:t>
      </w:r>
    </w:p>
    <w:p w:rsidR="00B92B42" w:rsidRPr="00BA77D3" w:rsidRDefault="00E24606" w:rsidP="00B92B42">
      <w:pPr>
        <w:ind w:firstLine="709"/>
        <w:jc w:val="both"/>
      </w:pPr>
      <w:r>
        <w:t>18</w:t>
      </w:r>
      <w:r w:rsidR="00955D04" w:rsidRPr="00BA77D3">
        <w:t>správ o povesti na maloletých a mladistvých na základe vyžiadania polície,</w:t>
      </w:r>
    </w:p>
    <w:p w:rsidR="00955D04" w:rsidRPr="00BA77D3" w:rsidRDefault="00FD46CC" w:rsidP="00B92B42">
      <w:pPr>
        <w:ind w:firstLine="709"/>
        <w:jc w:val="both"/>
      </w:pPr>
      <w:r>
        <w:t xml:space="preserve">10 </w:t>
      </w:r>
      <w:r w:rsidR="00955D04" w:rsidRPr="00BA77D3">
        <w:t>správ - podklady pre súdne konania,</w:t>
      </w:r>
    </w:p>
    <w:p w:rsidR="00955D04" w:rsidRDefault="00203C34" w:rsidP="00B92B42">
      <w:pPr>
        <w:ind w:firstLine="709"/>
        <w:jc w:val="both"/>
      </w:pPr>
      <w:r>
        <w:t>65</w:t>
      </w:r>
      <w:r w:rsidR="00955D04" w:rsidRPr="00BA77D3">
        <w:t xml:space="preserve"> správ o povesti pre ÚPSVAR a iné úrady</w:t>
      </w:r>
      <w:r w:rsidR="00283A5F">
        <w:t>.</w:t>
      </w:r>
    </w:p>
    <w:p w:rsidR="00283A5F" w:rsidRPr="00BA77D3" w:rsidRDefault="00283A5F" w:rsidP="00B92B42">
      <w:pPr>
        <w:ind w:firstLine="709"/>
        <w:jc w:val="both"/>
      </w:pPr>
    </w:p>
    <w:p w:rsidR="004C2FF5" w:rsidRDefault="00B92B42" w:rsidP="004C2FF5">
      <w:pPr>
        <w:ind w:firstLine="709"/>
        <w:jc w:val="both"/>
      </w:pPr>
      <w:r w:rsidRPr="00BA77D3">
        <w:t xml:space="preserve">Mesto </w:t>
      </w:r>
      <w:r w:rsidR="00686695">
        <w:t xml:space="preserve">sa </w:t>
      </w:r>
      <w:r w:rsidRPr="00BA77D3">
        <w:t>v súlade s</w:t>
      </w:r>
      <w:r w:rsidR="00686695">
        <w:t xml:space="preserve"> občiansko-právnym poriadkom </w:t>
      </w:r>
      <w:r w:rsidRPr="00BA77D3">
        <w:t xml:space="preserve"> stalo</w:t>
      </w:r>
      <w:r w:rsidR="004820AC">
        <w:t xml:space="preserve"> kolíznym</w:t>
      </w:r>
      <w:r w:rsidRPr="00BA77D3">
        <w:t xml:space="preserve"> opatro</w:t>
      </w:r>
      <w:r w:rsidR="00686695">
        <w:t xml:space="preserve">vníkom pre súdne konania vo </w:t>
      </w:r>
      <w:proofErr w:type="spellStart"/>
      <w:r w:rsidR="00686695">
        <w:t>vecach</w:t>
      </w:r>
      <w:proofErr w:type="spellEnd"/>
      <w:r w:rsidRPr="00BA77D3">
        <w:t xml:space="preserve"> maloletých detí. V tomto roku </w:t>
      </w:r>
      <w:r w:rsidR="00252F8B" w:rsidRPr="00BA77D3">
        <w:t>sa poverený zástupca Mesta zúčastnil</w:t>
      </w:r>
      <w:r w:rsidR="00203C34">
        <w:t xml:space="preserve"> na 13</w:t>
      </w:r>
      <w:r w:rsidRPr="00BA77D3">
        <w:t xml:space="preserve"> súdnych pojednávaniach, ktoré sa konali za účelom nariadenia </w:t>
      </w:r>
      <w:r w:rsidR="00203C34">
        <w:t xml:space="preserve">a zrušenia </w:t>
      </w:r>
      <w:r w:rsidRPr="00BA77D3">
        <w:t>výchovného opatrenia, pozbavenia svojprávnosti na právne úkony, schv</w:t>
      </w:r>
      <w:r w:rsidR="00203C34">
        <w:t xml:space="preserve">álenie úkonu za nesvojprávneho, pozbavenie výkonu rodičovských práv, ustanovenie poručníka, určenie splnenia podmienok osvojiteľnosti, nariadenie ústavnej starostlivosti, zmeny zariadenia ústavnej starostlivosti, zverenie dieťaťa do náhradnej starostlivosti a pod. </w:t>
      </w:r>
    </w:p>
    <w:p w:rsidR="00692864" w:rsidRDefault="00B92B42" w:rsidP="004C2FF5">
      <w:pPr>
        <w:ind w:firstLine="709"/>
        <w:jc w:val="both"/>
      </w:pPr>
      <w:r w:rsidRPr="00BA77D3">
        <w:rPr>
          <w:lang w:eastAsia="en-US"/>
        </w:rPr>
        <w:t xml:space="preserve">Mesto v zmysle zákona  NR SR č.305/2005 </w:t>
      </w:r>
      <w:proofErr w:type="spellStart"/>
      <w:r w:rsidRPr="00BA77D3">
        <w:rPr>
          <w:lang w:eastAsia="en-US"/>
        </w:rPr>
        <w:t>Z.z</w:t>
      </w:r>
      <w:proofErr w:type="spellEnd"/>
      <w:r w:rsidRPr="00BA77D3">
        <w:rPr>
          <w:lang w:eastAsia="en-US"/>
        </w:rPr>
        <w:t>. o sociálnoprávnej ochrane detí a soci</w:t>
      </w:r>
      <w:r w:rsidR="00C6274C">
        <w:rPr>
          <w:lang w:eastAsia="en-US"/>
        </w:rPr>
        <w:t xml:space="preserve">álnej kuratele prijalo </w:t>
      </w:r>
      <w:r w:rsidR="004C2FF5">
        <w:rPr>
          <w:lang w:eastAsia="en-US"/>
        </w:rPr>
        <w:t xml:space="preserve">zmenu </w:t>
      </w:r>
      <w:r w:rsidR="00C6274C">
        <w:rPr>
          <w:lang w:eastAsia="en-US"/>
        </w:rPr>
        <w:t>VZN č. 43 o podmienkach, finančných príspevkoch a spôsobe realizácie opatrení sociálnoprávnej ochrany detí a sociálnej kurately</w:t>
      </w:r>
      <w:r w:rsidRPr="00BA77D3">
        <w:rPr>
          <w:lang w:eastAsia="en-US"/>
        </w:rPr>
        <w:t xml:space="preserve">, ktoré  ustanovuje podmienky poskytovania finančných príspevkov na </w:t>
      </w:r>
      <w:r w:rsidR="00C6274C">
        <w:rPr>
          <w:lang w:eastAsia="en-US"/>
        </w:rPr>
        <w:t>dopravu a príspevok na osamo</w:t>
      </w:r>
      <w:r w:rsidR="004C2FF5">
        <w:rPr>
          <w:lang w:eastAsia="en-US"/>
        </w:rPr>
        <w:t>statnenia sa mladého dospelého. Z</w:t>
      </w:r>
      <w:r w:rsidR="004C2FF5">
        <w:t>mena zákona</w:t>
      </w:r>
      <w:r w:rsidR="00283A5F" w:rsidRPr="00283A5F">
        <w:t xml:space="preserve"> zrušila povinnosť obcí vytvárať úspory deťom umiestneným v detskom domov</w:t>
      </w:r>
      <w:r w:rsidR="004820AC">
        <w:t>e, podľa novely zákona v C</w:t>
      </w:r>
      <w:r w:rsidR="00283A5F" w:rsidRPr="00283A5F">
        <w:t>entre pre deti a rodinu. Obec už  nemá povinnosť poskytovať ani pôvodný  príspevok na úpravu a obnovu rodinných pomerov počas umiestnenia dieťaťa, ktorý bol vyplácaný do jedn</w:t>
      </w:r>
      <w:r w:rsidR="004820AC">
        <w:t>ého roka po umiestnení</w:t>
      </w:r>
      <w:r w:rsidR="00283A5F" w:rsidRPr="00283A5F">
        <w:t xml:space="preserve">.  </w:t>
      </w:r>
      <w:r w:rsidR="00283A5F">
        <w:t xml:space="preserve">Mesto má naďalej možnosť poskytnúť </w:t>
      </w:r>
      <w:r w:rsidR="00283A5F" w:rsidRPr="00283A5F">
        <w:t>prí</w:t>
      </w:r>
      <w:r w:rsidR="00283A5F">
        <w:t>spevok</w:t>
      </w:r>
      <w:r w:rsidR="00283A5F" w:rsidRPr="00283A5F">
        <w:t xml:space="preserve"> na dopravu</w:t>
      </w:r>
      <w:r w:rsidR="00283A5F" w:rsidRPr="00283A5F">
        <w:rPr>
          <w:lang w:eastAsia="en-US"/>
        </w:rPr>
        <w:t xml:space="preserve"> a</w:t>
      </w:r>
      <w:r w:rsidR="00283A5F">
        <w:rPr>
          <w:lang w:eastAsia="en-US"/>
        </w:rPr>
        <w:t xml:space="preserve"> zároveň povinnosť poskytnúť mladému dospelému, ktorý odchádza z centra, príspevok vo výške 30 % zo sumy príspevku poukázaného centrom. </w:t>
      </w:r>
      <w:r w:rsidR="004C2FF5">
        <w:rPr>
          <w:lang w:eastAsia="en-US"/>
        </w:rPr>
        <w:t>Podmienkou je, že m</w:t>
      </w:r>
      <w:r w:rsidR="00283A5F">
        <w:rPr>
          <w:lang w:eastAsia="en-US"/>
        </w:rPr>
        <w:t xml:space="preserve">ladý dospelý musí </w:t>
      </w:r>
      <w:r w:rsidR="00283A5F">
        <w:rPr>
          <w:lang w:eastAsia="en-US"/>
        </w:rPr>
        <w:lastRenderedPageBreak/>
        <w:t xml:space="preserve">Mesto </w:t>
      </w:r>
      <w:r w:rsidR="00283A5F" w:rsidRPr="00692864">
        <w:rPr>
          <w:lang w:eastAsia="en-US"/>
        </w:rPr>
        <w:t>požiadať</w:t>
      </w:r>
      <w:r w:rsidR="00682D35">
        <w:rPr>
          <w:lang w:eastAsia="en-US"/>
        </w:rPr>
        <w:t xml:space="preserve"> </w:t>
      </w:r>
      <w:r w:rsidR="004C2FF5">
        <w:t xml:space="preserve">o tento príspevok do </w:t>
      </w:r>
      <w:r w:rsidR="00283A5F" w:rsidRPr="00692864">
        <w:t xml:space="preserve">30 dní po skončení pobytu a musí mať trvalý pobyt </w:t>
      </w:r>
      <w:r w:rsidR="004C2FF5">
        <w:t xml:space="preserve"> na území obce v čase</w:t>
      </w:r>
      <w:r w:rsidR="00C6274C" w:rsidRPr="00692864">
        <w:t xml:space="preserve"> umiestnenia do centra. Príspevok na osamostatnenie  sa poskytuje obec </w:t>
      </w:r>
      <w:r w:rsidR="00682D35">
        <w:t>peňažnou</w:t>
      </w:r>
      <w:r w:rsidR="00C6274C" w:rsidRPr="00692864">
        <w:t xml:space="preserve">, vecnou alebo </w:t>
      </w:r>
      <w:r w:rsidR="00692864" w:rsidRPr="00692864">
        <w:t>kombinovanou formou jednorazovo alebo vo viacerých splátkach. V</w:t>
      </w:r>
      <w:r w:rsidR="00692864">
        <w:t> roku 2018 o tento príspevok nepožiadal žiaden mladý dospelý</w:t>
      </w:r>
      <w:r w:rsidR="004820AC">
        <w:t>, pričom p</w:t>
      </w:r>
      <w:r w:rsidR="003D2D65">
        <w:t>lnoletosť v ce</w:t>
      </w:r>
      <w:r w:rsidR="004820AC">
        <w:t>ntre dovŕšil jeden umiestnený. Z</w:t>
      </w:r>
      <w:r w:rsidR="003D2D65">
        <w:t>ostáva v centre z dôvodu ďalšieho štúdia</w:t>
      </w:r>
      <w:r w:rsidR="004C2FF5">
        <w:t xml:space="preserve">. Nárok na tento príspevok </w:t>
      </w:r>
      <w:r w:rsidR="003D2D65">
        <w:t>ne</w:t>
      </w:r>
      <w:r w:rsidR="004820AC">
        <w:t>stráca, môže si ho uplatniť po odchode</w:t>
      </w:r>
      <w:r w:rsidR="003D2D65">
        <w:t xml:space="preserve"> zo zariadenia. </w:t>
      </w:r>
    </w:p>
    <w:p w:rsidR="00C6274C" w:rsidRPr="00692864" w:rsidRDefault="00682D35" w:rsidP="00682D35">
      <w:pPr>
        <w:jc w:val="both"/>
      </w:pPr>
      <w:r>
        <w:rPr>
          <w:lang w:eastAsia="en-US"/>
        </w:rPr>
        <w:t xml:space="preserve">      </w:t>
      </w:r>
      <w:r w:rsidR="00283A5F" w:rsidRPr="00BA77D3">
        <w:rPr>
          <w:lang w:eastAsia="en-US"/>
        </w:rPr>
        <w:t xml:space="preserve">V zmysle tohto </w:t>
      </w:r>
      <w:r w:rsidR="00692864">
        <w:rPr>
          <w:lang w:eastAsia="en-US"/>
        </w:rPr>
        <w:t>aktualizovaného z</w:t>
      </w:r>
      <w:r w:rsidR="00283A5F" w:rsidRPr="00BA77D3">
        <w:rPr>
          <w:lang w:eastAsia="en-US"/>
        </w:rPr>
        <w:t xml:space="preserve">ákona </w:t>
      </w:r>
      <w:r w:rsidR="00692864">
        <w:rPr>
          <w:lang w:eastAsia="en-US"/>
        </w:rPr>
        <w:t xml:space="preserve">Mesto </w:t>
      </w:r>
      <w:r w:rsidR="00283A5F">
        <w:rPr>
          <w:lang w:eastAsia="en-US"/>
        </w:rPr>
        <w:t>každé dva mesiace s</w:t>
      </w:r>
      <w:r w:rsidR="004C2FF5">
        <w:rPr>
          <w:lang w:eastAsia="en-US"/>
        </w:rPr>
        <w:t>polu s  prís</w:t>
      </w:r>
      <w:r w:rsidR="00A933B2">
        <w:rPr>
          <w:lang w:eastAsia="en-US"/>
        </w:rPr>
        <w:t>lušným úradom práce, rodinou a C</w:t>
      </w:r>
      <w:r w:rsidR="004C2FF5">
        <w:rPr>
          <w:lang w:eastAsia="en-US"/>
        </w:rPr>
        <w:t xml:space="preserve">entrom pre deti a rodinu </w:t>
      </w:r>
      <w:r w:rsidR="00283A5F" w:rsidRPr="00BA77D3">
        <w:rPr>
          <w:lang w:eastAsia="en-US"/>
        </w:rPr>
        <w:t>prehodnocuje plnenie sociálneho plánu práce s rodinou dieťaťa,</w:t>
      </w:r>
      <w:r w:rsidR="00283A5F">
        <w:rPr>
          <w:lang w:eastAsia="en-US"/>
        </w:rPr>
        <w:t xml:space="preserve"> u ktorého je uložené výchovné opatrenie a u</w:t>
      </w:r>
      <w:r w:rsidR="004C2FF5">
        <w:rPr>
          <w:lang w:eastAsia="en-US"/>
        </w:rPr>
        <w:t> </w:t>
      </w:r>
      <w:r w:rsidR="00283A5F">
        <w:rPr>
          <w:lang w:eastAsia="en-US"/>
        </w:rPr>
        <w:t>detí</w:t>
      </w:r>
      <w:r w:rsidR="004C2FF5">
        <w:rPr>
          <w:lang w:eastAsia="en-US"/>
        </w:rPr>
        <w:t>,</w:t>
      </w:r>
      <w:r w:rsidR="00283A5F">
        <w:rPr>
          <w:lang w:eastAsia="en-US"/>
        </w:rPr>
        <w:t xml:space="preserve"> u ktorých je</w:t>
      </w:r>
      <w:r>
        <w:rPr>
          <w:lang w:eastAsia="en-US"/>
        </w:rPr>
        <w:t xml:space="preserve"> nariadená ústavná starostlivosť</w:t>
      </w:r>
      <w:r w:rsidR="00283A5F">
        <w:rPr>
          <w:lang w:eastAsia="en-US"/>
        </w:rPr>
        <w:t xml:space="preserve">.   </w:t>
      </w:r>
      <w:r w:rsidR="00A933B2">
        <w:rPr>
          <w:lang w:eastAsia="en-US"/>
        </w:rPr>
        <w:t>Mesto Stará Ľubovňa malo</w:t>
      </w:r>
      <w:r w:rsidR="003D2D65">
        <w:rPr>
          <w:lang w:eastAsia="en-US"/>
        </w:rPr>
        <w:t xml:space="preserve"> v roku 2018   celkovo 22 detí </w:t>
      </w:r>
      <w:r w:rsidR="004C2FF5">
        <w:rPr>
          <w:lang w:eastAsia="en-US"/>
        </w:rPr>
        <w:t xml:space="preserve">zo </w:t>
      </w:r>
      <w:r w:rsidR="003D2D65">
        <w:rPr>
          <w:lang w:eastAsia="en-US"/>
        </w:rPr>
        <w:t>7 rodín umiestnených v Centre pre deti</w:t>
      </w:r>
      <w:r w:rsidR="00A933B2">
        <w:rPr>
          <w:lang w:eastAsia="en-US"/>
        </w:rPr>
        <w:t xml:space="preserve"> a rodinu </w:t>
      </w:r>
      <w:r w:rsidR="003D2D65">
        <w:rPr>
          <w:lang w:eastAsia="en-US"/>
        </w:rPr>
        <w:t xml:space="preserve"> v mestách Svid</w:t>
      </w:r>
      <w:r w:rsidR="00A933B2">
        <w:rPr>
          <w:lang w:eastAsia="en-US"/>
        </w:rPr>
        <w:t>ník, Podolínec, Istebné, Prešov a Poprad</w:t>
      </w:r>
      <w:r w:rsidR="003D2D65">
        <w:rPr>
          <w:lang w:eastAsia="en-US"/>
        </w:rPr>
        <w:t>. U štyroch d</w:t>
      </w:r>
      <w:r w:rsidR="00A933B2">
        <w:rPr>
          <w:lang w:eastAsia="en-US"/>
        </w:rPr>
        <w:t>etí, ktoré sú umiestnené v</w:t>
      </w:r>
      <w:r>
        <w:rPr>
          <w:lang w:eastAsia="en-US"/>
        </w:rPr>
        <w:t> </w:t>
      </w:r>
      <w:r w:rsidR="00A933B2">
        <w:rPr>
          <w:lang w:eastAsia="en-US"/>
        </w:rPr>
        <w:t>zariadení</w:t>
      </w:r>
      <w:r>
        <w:rPr>
          <w:lang w:eastAsia="en-US"/>
        </w:rPr>
        <w:t xml:space="preserve"> a</w:t>
      </w:r>
      <w:r w:rsidR="003D2D65">
        <w:rPr>
          <w:lang w:eastAsia="en-US"/>
        </w:rPr>
        <w:t xml:space="preserve"> u ktorých sú obaja rodičia pozbavení rodičovských práv, vykonáva Mesto aj funkciu poručníka. Títo rodičia sa </w:t>
      </w:r>
      <w:r w:rsidR="004C2FF5">
        <w:rPr>
          <w:lang w:eastAsia="en-US"/>
        </w:rPr>
        <w:t xml:space="preserve">dlhodobo nachádzajú v Českej republike. </w:t>
      </w:r>
    </w:p>
    <w:p w:rsidR="00B92B42" w:rsidRPr="00BA77D3" w:rsidRDefault="00B92B42" w:rsidP="00682D35">
      <w:pPr>
        <w:tabs>
          <w:tab w:val="left" w:pos="360"/>
        </w:tabs>
        <w:suppressAutoHyphens/>
        <w:autoSpaceDN w:val="0"/>
        <w:jc w:val="both"/>
        <w:rPr>
          <w:lang w:eastAsia="en-US"/>
        </w:rPr>
      </w:pPr>
    </w:p>
    <w:p w:rsidR="005A5C45" w:rsidRDefault="005A5C45" w:rsidP="00682D35">
      <w:pPr>
        <w:jc w:val="both"/>
        <w:rPr>
          <w:b/>
          <w:bCs/>
        </w:rPr>
      </w:pPr>
    </w:p>
    <w:p w:rsidR="005A5C45" w:rsidRDefault="005A5C45" w:rsidP="008604C3">
      <w:pPr>
        <w:jc w:val="both"/>
        <w:rPr>
          <w:b/>
          <w:bCs/>
        </w:rPr>
      </w:pPr>
    </w:p>
    <w:p w:rsidR="008604C3" w:rsidRPr="00BA77D3" w:rsidRDefault="008604C3" w:rsidP="008604C3">
      <w:pPr>
        <w:jc w:val="both"/>
        <w:rPr>
          <w:b/>
          <w:bCs/>
        </w:rPr>
      </w:pPr>
      <w:r w:rsidRPr="00BA77D3">
        <w:rPr>
          <w:b/>
          <w:bCs/>
        </w:rPr>
        <w:t>Jednorazová dávka sociálnej pomoci</w:t>
      </w:r>
      <w:r w:rsidR="00682D35">
        <w:rPr>
          <w:b/>
          <w:bCs/>
        </w:rPr>
        <w:t xml:space="preserve">, príspevky </w:t>
      </w:r>
    </w:p>
    <w:p w:rsidR="008604C3" w:rsidRPr="00BA77D3" w:rsidRDefault="008604C3" w:rsidP="008604C3">
      <w:pPr>
        <w:jc w:val="both"/>
        <w:rPr>
          <w:b/>
          <w:bCs/>
          <w:u w:val="single"/>
        </w:rPr>
      </w:pPr>
    </w:p>
    <w:p w:rsidR="008604C3" w:rsidRPr="00BA77D3" w:rsidRDefault="008604C3" w:rsidP="008604C3">
      <w:pPr>
        <w:ind w:firstLine="708"/>
        <w:jc w:val="both"/>
      </w:pPr>
      <w:r w:rsidRPr="00BA77D3">
        <w:t xml:space="preserve">V zmysle zákona NR SR č. 599/2003 </w:t>
      </w:r>
      <w:proofErr w:type="spellStart"/>
      <w:r w:rsidRPr="00BA77D3">
        <w:t>Z.z</w:t>
      </w:r>
      <w:proofErr w:type="spellEnd"/>
      <w:r w:rsidRPr="00BA77D3">
        <w:t xml:space="preserve">. o pomoci v hmotnej núdzi môže Mesto poskytnúť jednorazovú dávku sociálnej pomoci na základe písomnej žiadosti občana mesta. </w:t>
      </w:r>
    </w:p>
    <w:p w:rsidR="007A4D51" w:rsidRPr="00BA77D3" w:rsidRDefault="008604C3" w:rsidP="008604C3">
      <w:pPr>
        <w:ind w:firstLine="708"/>
        <w:jc w:val="both"/>
      </w:pPr>
      <w:r w:rsidRPr="00BA77D3">
        <w:t>V roku 201</w:t>
      </w:r>
      <w:r w:rsidR="00C6274C">
        <w:t>8</w:t>
      </w:r>
      <w:r w:rsidRPr="00BA77D3">
        <w:t xml:space="preserve"> bolo podaných </w:t>
      </w:r>
      <w:r w:rsidR="005B6FDE">
        <w:t>10</w:t>
      </w:r>
      <w:r w:rsidRPr="00BA77D3">
        <w:t xml:space="preserve"> žiadostí o poskytnutie jednorazovej dávky sociálnej pomoci, </w:t>
      </w:r>
      <w:r w:rsidR="00E9597B">
        <w:t xml:space="preserve"> čo je o jednu žiadosť menej ako v roku 2017. </w:t>
      </w:r>
      <w:r w:rsidRPr="00BA77D3">
        <w:t xml:space="preserve">Po prešetrení sociálnych pomerov </w:t>
      </w:r>
      <w:r w:rsidR="00D84571">
        <w:t xml:space="preserve">u </w:t>
      </w:r>
      <w:r w:rsidRPr="00BA77D3">
        <w:t xml:space="preserve">žiadateľov </w:t>
      </w:r>
      <w:r w:rsidR="00D84571">
        <w:t xml:space="preserve">bola </w:t>
      </w:r>
      <w:r w:rsidRPr="00BA77D3">
        <w:t>jed</w:t>
      </w:r>
      <w:r w:rsidR="00D84571">
        <w:t xml:space="preserve">norazová  finančná výpomoc </w:t>
      </w:r>
      <w:r w:rsidRPr="00BA77D3">
        <w:t>schválená  v </w:t>
      </w:r>
      <w:r w:rsidR="00E9597B">
        <w:t>5</w:t>
      </w:r>
      <w:r w:rsidRPr="00BA77D3">
        <w:t xml:space="preserve"> prípadoch. Priemerná schválená čiastka  dávky na jednu žiadosť v roku 201</w:t>
      </w:r>
      <w:r w:rsidR="00E9597B">
        <w:t>8 bola  116,0 €</w:t>
      </w:r>
      <w:r w:rsidRPr="00BA77D3">
        <w:t xml:space="preserve">. </w:t>
      </w:r>
    </w:p>
    <w:p w:rsidR="008604C3" w:rsidRDefault="008604C3" w:rsidP="008604C3">
      <w:pPr>
        <w:ind w:firstLine="708"/>
        <w:jc w:val="both"/>
      </w:pPr>
      <w:r w:rsidRPr="00BA77D3">
        <w:t>Celkové čerpanie dávky za rok 201</w:t>
      </w:r>
      <w:r w:rsidR="00E9597B">
        <w:t>8</w:t>
      </w:r>
      <w:r w:rsidRPr="00BA77D3">
        <w:t xml:space="preserve"> bolo vo výške </w:t>
      </w:r>
      <w:r w:rsidR="00E9597B">
        <w:t>580</w:t>
      </w:r>
      <w:r w:rsidRPr="00BA77D3">
        <w:t xml:space="preserve"> €, čo predstavuje </w:t>
      </w:r>
      <w:r w:rsidR="00D84571">
        <w:t xml:space="preserve">29 % </w:t>
      </w:r>
      <w:r w:rsidRPr="00BA77D3">
        <w:t>zo sumy vyčlenenej v  rozpočte. Poskytnutá jednorazová finančná výpomoc bola oproti roku 201</w:t>
      </w:r>
      <w:r w:rsidR="00D84571">
        <w:t>7</w:t>
      </w:r>
      <w:r w:rsidRPr="00BA77D3">
        <w:t xml:space="preserve"> nižšia o</w:t>
      </w:r>
      <w:r w:rsidR="00D84571">
        <w:t> 314,22</w:t>
      </w:r>
      <w:r w:rsidRPr="00BA77D3">
        <w:t xml:space="preserve"> €.</w:t>
      </w:r>
    </w:p>
    <w:p w:rsidR="00682D35" w:rsidRPr="00BA77D3" w:rsidRDefault="00682D35" w:rsidP="008604C3">
      <w:pPr>
        <w:ind w:firstLine="708"/>
        <w:jc w:val="both"/>
      </w:pPr>
      <w:r>
        <w:t>V zmysle VZN č. 63 o poskytovaní opatrovateľskej služby a poskytovaní finančného príspevku na sociálnu pomoc majú nárok na finančný príspevok na požičiavanie pomôcok a zabezpečenie služby s použitím telekomunikačných technológií žiadatelia s trvalým pobytom na území Mesta Stará Ľubovňa na riešenie nepriaznivej sociálnej situácie z dôvodu ťažkého zdravotného postihnutia, nepriaznivého zdravotného stavu alebo z dôvodu dovŕšenia dôchodkového veku. Príspevok na pomôcku sa posk</w:t>
      </w:r>
      <w:r w:rsidR="002932A7">
        <w:t xml:space="preserve">ytuje najviac po dobu 6 mesiacov, pričom výška príspevku sa stanoví na základe prieskumu trhu ako najnižšia cena za konkrétnu pomôcku. Príspevok na signalizačné zariadenie je vo výške 10 € mesačne bez časového obmedzenia. V roku 2018 boli tieto príspevky vyplácané na základe zmluvy jednej klientke, v celkovej sume 25,50 € (žiadosť bola podaná v decembri 2018). </w:t>
      </w:r>
    </w:p>
    <w:p w:rsidR="007A4D51" w:rsidRPr="00BA77D3" w:rsidRDefault="007A4D51" w:rsidP="008604C3">
      <w:pPr>
        <w:ind w:firstLine="708"/>
        <w:jc w:val="both"/>
      </w:pPr>
      <w:r w:rsidRPr="00BA77D3">
        <w:t>Mesto aktívne participovalo na potravinových formách pomoci pre seniorov, občanov so zdravotným znevýhodnením a sociálne odkázané rodiny</w:t>
      </w:r>
      <w:r w:rsidR="00D84571">
        <w:t>(4x potravinová pomoc,</w:t>
      </w:r>
      <w:r w:rsidR="00432298" w:rsidRPr="00BA77D3">
        <w:t> hygienický balíček v spol</w:t>
      </w:r>
      <w:r w:rsidR="00D84571">
        <w:t>upráci so S</w:t>
      </w:r>
      <w:r w:rsidR="00432298" w:rsidRPr="00BA77D3">
        <w:t>pišskou katolíckou charitou)</w:t>
      </w:r>
      <w:r w:rsidRPr="00BA77D3">
        <w:t>.</w:t>
      </w:r>
      <w:r w:rsidR="00D84571">
        <w:t>V spolupráci s</w:t>
      </w:r>
      <w:r w:rsidR="003F475C">
        <w:t> Mládežníckym parlamentom a CVČ organizovalo Mesto v predvianočnom období charitatívnu akciu pod názvom KILO, počas ktorej boli 37-im  rodinám odovzdané balíčky, ktoré obsahovali</w:t>
      </w:r>
      <w:r w:rsidR="00A933B2">
        <w:t xml:space="preserve"> predovšetkým</w:t>
      </w:r>
      <w:r w:rsidR="003F475C">
        <w:t xml:space="preserve"> trvanlivé potraviny. </w:t>
      </w:r>
    </w:p>
    <w:p w:rsidR="002426C2" w:rsidRPr="00BA77D3" w:rsidRDefault="002426C2" w:rsidP="008604C3">
      <w:pPr>
        <w:ind w:firstLine="708"/>
        <w:jc w:val="both"/>
      </w:pPr>
    </w:p>
    <w:p w:rsidR="002426C2" w:rsidRPr="002A10C3" w:rsidRDefault="002426C2" w:rsidP="008604C3">
      <w:pPr>
        <w:ind w:firstLine="708"/>
        <w:jc w:val="both"/>
        <w:rPr>
          <w:color w:val="FF0000"/>
        </w:rPr>
      </w:pPr>
    </w:p>
    <w:p w:rsidR="00B92B42" w:rsidRPr="00BA77D3" w:rsidRDefault="00B92B42" w:rsidP="00821272">
      <w:pPr>
        <w:tabs>
          <w:tab w:val="left" w:pos="720"/>
        </w:tabs>
        <w:autoSpaceDN w:val="0"/>
        <w:spacing w:after="200"/>
        <w:jc w:val="both"/>
        <w:rPr>
          <w:lang w:eastAsia="en-US"/>
        </w:rPr>
      </w:pPr>
      <w:r w:rsidRPr="00BA77D3">
        <w:rPr>
          <w:b/>
          <w:bCs/>
        </w:rPr>
        <w:t xml:space="preserve">Zanedbávanie povinnej školskej dochádzky </w:t>
      </w:r>
    </w:p>
    <w:p w:rsidR="00B92B42" w:rsidRPr="00BA77D3" w:rsidRDefault="00B92B42" w:rsidP="00B92B42">
      <w:pPr>
        <w:tabs>
          <w:tab w:val="left" w:pos="720"/>
        </w:tabs>
        <w:jc w:val="both"/>
      </w:pPr>
      <w:r w:rsidRPr="00BA77D3">
        <w:rPr>
          <w:bCs/>
        </w:rPr>
        <w:tab/>
      </w:r>
      <w:r w:rsidRPr="00BA77D3">
        <w:t xml:space="preserve">Obec ako príslušný správny orgán v zmysle zákona č. 596/2003 </w:t>
      </w:r>
      <w:proofErr w:type="spellStart"/>
      <w:r w:rsidRPr="00BA77D3">
        <w:t>Z.z</w:t>
      </w:r>
      <w:proofErr w:type="spellEnd"/>
      <w:r w:rsidRPr="00BA77D3">
        <w:t xml:space="preserve">. Zákon o štátnej správe v školstve a školskej samospráve a o zmene a doplnení niektorých zákonov, zákona č. 372/1990 Zb. o priestupkoch v znení neskorších predpisov eviduje zanedbávanie povinnej školskej dochádzky a vykonáva štátnu správu v prvom stupni vo veciach ohrozovania výchovy a vzdelávania maloletého, alebo zanedbávania starostlivosti o povinnú školskú dochádzku žiaka.  </w:t>
      </w:r>
    </w:p>
    <w:p w:rsidR="00B92B42" w:rsidRPr="00BA77D3" w:rsidRDefault="00B92B42" w:rsidP="006D1639">
      <w:pPr>
        <w:autoSpaceDN w:val="0"/>
        <w:spacing w:after="200"/>
        <w:ind w:firstLine="708"/>
        <w:jc w:val="both"/>
        <w:rPr>
          <w:sz w:val="20"/>
          <w:szCs w:val="20"/>
        </w:rPr>
      </w:pPr>
      <w:r w:rsidRPr="00BA77D3">
        <w:lastRenderedPageBreak/>
        <w:t xml:space="preserve">V školskom roku </w:t>
      </w:r>
      <w:r w:rsidR="00134E95" w:rsidRPr="00BA77D3">
        <w:t>201</w:t>
      </w:r>
      <w:r w:rsidR="003F475C">
        <w:t>7</w:t>
      </w:r>
      <w:r w:rsidR="00134E95" w:rsidRPr="00BA77D3">
        <w:t>/201</w:t>
      </w:r>
      <w:r w:rsidR="003F475C">
        <w:t>8</w:t>
      </w:r>
      <w:r w:rsidRPr="00BA77D3">
        <w:t xml:space="preserve"> bolo v evidencii mestského úradu </w:t>
      </w:r>
      <w:r w:rsidR="00A93956">
        <w:t>16</w:t>
      </w:r>
      <w:r w:rsidRPr="00BA77D3">
        <w:t xml:space="preserve"> ž</w:t>
      </w:r>
      <w:r w:rsidR="00A93956">
        <w:t>iakov s nahláseným záškoláctvom a celkovým po</w:t>
      </w:r>
      <w:r w:rsidR="00A933B2">
        <w:t xml:space="preserve">čtom 749 neospravedlnených hodín </w:t>
      </w:r>
      <w:r w:rsidR="00A93956">
        <w:t xml:space="preserve">. </w:t>
      </w:r>
      <w:r w:rsidRPr="00BA77D3">
        <w:t xml:space="preserve"> Priestupkové konanie sa konalo v </w:t>
      </w:r>
      <w:r w:rsidR="00A93956">
        <w:t>7</w:t>
      </w:r>
      <w:r w:rsidRPr="00BA77D3">
        <w:t xml:space="preserve"> prípad</w:t>
      </w:r>
      <w:r w:rsidR="00A93956">
        <w:t>och</w:t>
      </w:r>
      <w:r w:rsidR="00A933B2">
        <w:t>,</w:t>
      </w:r>
      <w:r w:rsidR="00A93956">
        <w:t xml:space="preserve"> rodičom </w:t>
      </w:r>
      <w:r w:rsidR="00A933B2">
        <w:t xml:space="preserve">bolo </w:t>
      </w:r>
      <w:r w:rsidRPr="00BA77D3">
        <w:t>uložené pokarhanie</w:t>
      </w:r>
      <w:r w:rsidR="00134E95" w:rsidRPr="00BA77D3">
        <w:t>.</w:t>
      </w:r>
      <w:r w:rsidRPr="00BA77D3">
        <w:t xml:space="preserve"> Na Okresnú prokuratúru </w:t>
      </w:r>
      <w:r w:rsidR="00A93956">
        <w:t>nebolo podané žiadne trestné</w:t>
      </w:r>
      <w:r w:rsidRPr="00BA77D3">
        <w:t xml:space="preserve"> oznámen</w:t>
      </w:r>
      <w:r w:rsidR="00A93956">
        <w:t xml:space="preserve">ie. </w:t>
      </w:r>
    </w:p>
    <w:p w:rsidR="00B92B42" w:rsidRDefault="00B92B42" w:rsidP="00A93956">
      <w:pPr>
        <w:ind w:firstLine="708"/>
        <w:jc w:val="both"/>
      </w:pPr>
      <w:r w:rsidRPr="00BA77D3">
        <w:t xml:space="preserve">V oblasti záškoláctva sa pracuje s celou rodinou prevenčným spôsobom. To znamená, že už pri prvej absencii sa rodina navštívi, poučí o dôsledkoch konania a následne je v rodine vykonávaná náhodná kontrola za účelom zisťovania školskej dochádzky. </w:t>
      </w:r>
    </w:p>
    <w:p w:rsidR="00A93956" w:rsidRDefault="00A93956" w:rsidP="00A93956">
      <w:pPr>
        <w:ind w:firstLine="708"/>
        <w:jc w:val="both"/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D95576" w:rsidRDefault="00D95576" w:rsidP="002932A7">
      <w:pPr>
        <w:rPr>
          <w:b/>
        </w:rPr>
      </w:pPr>
      <w:r w:rsidRPr="006517AD">
        <w:rPr>
          <w:b/>
        </w:rPr>
        <w:t>Spoločný obecný úrad pre zabezpečenie sociálnych služieb</w:t>
      </w:r>
    </w:p>
    <w:p w:rsidR="00D95576" w:rsidRDefault="00D95576" w:rsidP="00D95576">
      <w:pPr>
        <w:jc w:val="both"/>
      </w:pPr>
    </w:p>
    <w:p w:rsidR="00D95576" w:rsidRDefault="00D95576" w:rsidP="00D95576">
      <w:pPr>
        <w:ind w:firstLine="708"/>
        <w:jc w:val="both"/>
      </w:pPr>
      <w:bookmarkStart w:id="1" w:name="_Hlk496087499"/>
      <w:r>
        <w:t>Spoločný obecný úrad pre zabezpečenie sociálnych služieb vznikol  01. 01. 2016 združením 27 obcí. V roku 2017 vstúpili do úradovne ďalšie dve obce. Momentálne je v úradovni 29 obcí. Nakoľko obyvateľstvo starne a s ním sú spojené</w:t>
      </w:r>
      <w:r w:rsidRPr="008534AD">
        <w:t xml:space="preserve"> aj zdravotné problémy vedúce k jeho postupnej  strate sebestačnosti</w:t>
      </w:r>
      <w:r>
        <w:t xml:space="preserve">,  záujem zapojenia do úradovne narastá.  </w:t>
      </w:r>
      <w:r w:rsidRPr="009E1457">
        <w:t>V roku 2018 bolo podaných 51 žiadostí o posúdenie odkázanosti na sociálnu službu. Na základe týchto žiadostí bolo vydaných 50 rozhodnutí o odkázanosti na sociálnu službu a 1 rozhodnutie o</w:t>
      </w:r>
      <w:r>
        <w:t> </w:t>
      </w:r>
      <w:proofErr w:type="spellStart"/>
      <w:r w:rsidRPr="009E1457">
        <w:t>neodkázanosti</w:t>
      </w:r>
      <w:proofErr w:type="spellEnd"/>
      <w:r>
        <w:t xml:space="preserve">, </w:t>
      </w:r>
      <w:r w:rsidRPr="009E1457">
        <w:t xml:space="preserve">11 rozhodnutí o odkázanosti na opatrovateľskú službu, 34 rozhodnutí o odkázanosti na zariadenie pre seniorov, 4 rozhodnutia o odkázanosti na denný stacionár, 2 rozhodnutia o odkázanosti na zariadenie opatrovateľskej služby. Jedna žiadosť bola podľa § 39 zákona 448/2008 o sociálnych službách odoslaná na Prešovský samosprávny kraj. </w:t>
      </w:r>
      <w:r>
        <w:t xml:space="preserve">Obce Hajtovka, Kolačkov, Lesnica, Nižné Ružbachy, Starina, Veľká Lesná nemali v roku 2018 podanú ani jednu žiadosť o posúdenie o odkázanosti na sociálnu službu. </w:t>
      </w:r>
    </w:p>
    <w:p w:rsidR="009112EC" w:rsidRDefault="009112EC" w:rsidP="00D95576">
      <w:pPr>
        <w:ind w:firstLine="708"/>
        <w:jc w:val="both"/>
      </w:pPr>
    </w:p>
    <w:p w:rsidR="009112EC" w:rsidRDefault="009112EC" w:rsidP="00D95576">
      <w:pPr>
        <w:ind w:firstLine="708"/>
        <w:jc w:val="both"/>
      </w:pPr>
    </w:p>
    <w:p w:rsidR="009112EC" w:rsidRPr="009E1457" w:rsidRDefault="009112EC" w:rsidP="00D95576">
      <w:pPr>
        <w:ind w:firstLine="708"/>
        <w:jc w:val="both"/>
      </w:pPr>
    </w:p>
    <w:p w:rsidR="00D95576" w:rsidRDefault="00D95576" w:rsidP="00D95576">
      <w:pPr>
        <w:ind w:firstLine="708"/>
        <w:jc w:val="both"/>
      </w:pPr>
    </w:p>
    <w:p w:rsidR="00D95576" w:rsidRPr="002932A7" w:rsidRDefault="00D95576" w:rsidP="00D95576">
      <w:pPr>
        <w:pStyle w:val="Popis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2932A7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Tabuľka </w:t>
      </w:r>
      <w:r w:rsidR="00A933B2" w:rsidRPr="002932A7">
        <w:rPr>
          <w:rFonts w:ascii="Times New Roman" w:hAnsi="Times New Roman" w:cs="Times New Roman"/>
          <w:i w:val="0"/>
          <w:color w:val="auto"/>
          <w:sz w:val="20"/>
          <w:szCs w:val="20"/>
        </w:rPr>
        <w:t>5</w:t>
      </w:r>
      <w:r w:rsidRPr="002932A7">
        <w:rPr>
          <w:rFonts w:ascii="Times New Roman" w:hAnsi="Times New Roman" w:cs="Times New Roman"/>
          <w:i w:val="0"/>
          <w:color w:val="auto"/>
          <w:sz w:val="20"/>
          <w:szCs w:val="20"/>
        </w:rPr>
        <w:t>: Počet žiadosti a vydaných rozhodnutí</w:t>
      </w:r>
      <w:r w:rsidR="00A933B2" w:rsidRPr="002932A7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za obdobie 2016 - 2018</w:t>
      </w:r>
    </w:p>
    <w:tbl>
      <w:tblPr>
        <w:tblStyle w:val="Mriekatabuky"/>
        <w:tblW w:w="8949" w:type="dxa"/>
        <w:tblLook w:val="04A0" w:firstRow="1" w:lastRow="0" w:firstColumn="1" w:lastColumn="0" w:noHBand="0" w:noVBand="1"/>
      </w:tblPr>
      <w:tblGrid>
        <w:gridCol w:w="5697"/>
        <w:gridCol w:w="1084"/>
        <w:gridCol w:w="1084"/>
        <w:gridCol w:w="1084"/>
      </w:tblGrid>
      <w:tr w:rsidR="00D95576" w:rsidTr="00F37893">
        <w:trPr>
          <w:trHeight w:val="265"/>
        </w:trPr>
        <w:tc>
          <w:tcPr>
            <w:tcW w:w="0" w:type="auto"/>
          </w:tcPr>
          <w:p w:rsidR="00D95576" w:rsidRDefault="00D95576" w:rsidP="00F37893">
            <w:pPr>
              <w:jc w:val="both"/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0" w:type="auto"/>
          </w:tcPr>
          <w:p w:rsidR="00D95576" w:rsidRDefault="00D95576" w:rsidP="00F37893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0" w:type="auto"/>
          </w:tcPr>
          <w:p w:rsidR="00D95576" w:rsidRDefault="00D95576" w:rsidP="00F37893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0" w:type="auto"/>
          </w:tcPr>
          <w:p w:rsidR="00D95576" w:rsidRDefault="00D95576" w:rsidP="00F37893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</w:tr>
      <w:tr w:rsidR="00D95576" w:rsidTr="00F37893">
        <w:trPr>
          <w:trHeight w:val="265"/>
        </w:trPr>
        <w:tc>
          <w:tcPr>
            <w:tcW w:w="0" w:type="auto"/>
          </w:tcPr>
          <w:p w:rsidR="00D95576" w:rsidRDefault="00D95576" w:rsidP="00F37893">
            <w:pPr>
              <w:jc w:val="both"/>
              <w:rPr>
                <w:b/>
              </w:rPr>
            </w:pPr>
            <w:r>
              <w:rPr>
                <w:b/>
              </w:rPr>
              <w:t>Počet podaných žiadostí</w:t>
            </w:r>
          </w:p>
        </w:tc>
        <w:tc>
          <w:tcPr>
            <w:tcW w:w="0" w:type="auto"/>
          </w:tcPr>
          <w:p w:rsidR="00D95576" w:rsidRDefault="00D95576" w:rsidP="00F3789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0" w:type="auto"/>
          </w:tcPr>
          <w:p w:rsidR="00D95576" w:rsidRDefault="00D95576" w:rsidP="00F37893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0" w:type="auto"/>
          </w:tcPr>
          <w:p w:rsidR="00D95576" w:rsidRDefault="00D95576" w:rsidP="00F37893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</w:tr>
      <w:tr w:rsidR="00D95576" w:rsidTr="00F37893">
        <w:trPr>
          <w:trHeight w:val="265"/>
        </w:trPr>
        <w:tc>
          <w:tcPr>
            <w:tcW w:w="0" w:type="auto"/>
          </w:tcPr>
          <w:p w:rsidR="00D95576" w:rsidRPr="004C468C" w:rsidRDefault="00D95576" w:rsidP="00F37893">
            <w:pPr>
              <w:jc w:val="both"/>
            </w:pPr>
            <w:r w:rsidRPr="004C468C">
              <w:t xml:space="preserve">Rozhodnutia o odkázanosti na </w:t>
            </w:r>
            <w:r w:rsidRPr="004C468C">
              <w:rPr>
                <w:b/>
              </w:rPr>
              <w:t>OS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28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22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>
              <w:t>11</w:t>
            </w:r>
          </w:p>
        </w:tc>
      </w:tr>
      <w:tr w:rsidR="00D95576" w:rsidTr="00F37893">
        <w:trPr>
          <w:trHeight w:val="265"/>
        </w:trPr>
        <w:tc>
          <w:tcPr>
            <w:tcW w:w="0" w:type="auto"/>
          </w:tcPr>
          <w:p w:rsidR="00D95576" w:rsidRPr="004C468C" w:rsidRDefault="00D95576" w:rsidP="00F37893">
            <w:pPr>
              <w:jc w:val="both"/>
            </w:pPr>
            <w:r w:rsidRPr="004C468C">
              <w:t xml:space="preserve">Rozhodnutia o odkázanosti na </w:t>
            </w:r>
            <w:proofErr w:type="spellStart"/>
            <w:r w:rsidRPr="004C468C">
              <w:rPr>
                <w:b/>
              </w:rPr>
              <w:t>ZpS</w:t>
            </w:r>
            <w:proofErr w:type="spellEnd"/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18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34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>
              <w:t>34</w:t>
            </w:r>
          </w:p>
        </w:tc>
      </w:tr>
      <w:tr w:rsidR="00D95576" w:rsidTr="00F37893">
        <w:trPr>
          <w:trHeight w:val="265"/>
        </w:trPr>
        <w:tc>
          <w:tcPr>
            <w:tcW w:w="0" w:type="auto"/>
          </w:tcPr>
          <w:p w:rsidR="00D95576" w:rsidRPr="004C468C" w:rsidRDefault="00D95576" w:rsidP="00F37893">
            <w:pPr>
              <w:jc w:val="both"/>
            </w:pPr>
            <w:r w:rsidRPr="004C468C">
              <w:t xml:space="preserve">Rozhodnutia o odkázanosti na </w:t>
            </w:r>
            <w:r w:rsidRPr="004C468C">
              <w:rPr>
                <w:b/>
              </w:rPr>
              <w:t>DS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0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15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>
              <w:t>4</w:t>
            </w:r>
          </w:p>
        </w:tc>
      </w:tr>
      <w:tr w:rsidR="00D95576" w:rsidTr="00F37893">
        <w:trPr>
          <w:trHeight w:val="265"/>
        </w:trPr>
        <w:tc>
          <w:tcPr>
            <w:tcW w:w="0" w:type="auto"/>
          </w:tcPr>
          <w:p w:rsidR="00D95576" w:rsidRPr="004C468C" w:rsidRDefault="00D95576" w:rsidP="00F37893">
            <w:pPr>
              <w:jc w:val="both"/>
            </w:pPr>
            <w:r w:rsidRPr="004C468C">
              <w:t xml:space="preserve">Rozhodnutia o odkázanosti na </w:t>
            </w:r>
            <w:r w:rsidRPr="004C468C">
              <w:rPr>
                <w:b/>
              </w:rPr>
              <w:t>ZOS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0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 w:rsidRPr="004C468C">
              <w:t>2</w:t>
            </w:r>
          </w:p>
        </w:tc>
        <w:tc>
          <w:tcPr>
            <w:tcW w:w="0" w:type="auto"/>
          </w:tcPr>
          <w:p w:rsidR="00D95576" w:rsidRPr="004C468C" w:rsidRDefault="00D95576" w:rsidP="00F37893">
            <w:pPr>
              <w:jc w:val="center"/>
            </w:pPr>
            <w:r>
              <w:t>2</w:t>
            </w:r>
          </w:p>
        </w:tc>
      </w:tr>
    </w:tbl>
    <w:p w:rsidR="00D95576" w:rsidRDefault="00D95576" w:rsidP="00D95576">
      <w:pPr>
        <w:ind w:firstLine="708"/>
        <w:jc w:val="both"/>
        <w:rPr>
          <w:b/>
          <w:color w:val="C00000"/>
        </w:rPr>
      </w:pPr>
    </w:p>
    <w:p w:rsidR="009112EC" w:rsidRDefault="009112EC" w:rsidP="00D95576">
      <w:pPr>
        <w:ind w:firstLine="708"/>
        <w:jc w:val="both"/>
        <w:rPr>
          <w:b/>
          <w:color w:val="C00000"/>
        </w:rPr>
      </w:pPr>
    </w:p>
    <w:p w:rsidR="00D95576" w:rsidRPr="00320C3C" w:rsidRDefault="00D95576" w:rsidP="00D95576">
      <w:pPr>
        <w:ind w:firstLine="708"/>
        <w:jc w:val="both"/>
      </w:pPr>
      <w:r w:rsidRPr="00320C3C">
        <w:t>Počet podaných žiadosti na posúdenie o odkázanosti na sociálnu službu v roku 2018 klesol</w:t>
      </w:r>
      <w:r>
        <w:t>,</w:t>
      </w:r>
      <w:r w:rsidRPr="00320C3C">
        <w:t xml:space="preserve"> a to z dôvodu ukončenia národného projektu Podpora opatrovateľskej služby</w:t>
      </w:r>
      <w:r>
        <w:t xml:space="preserve"> a svoju činnosť začiatkom  roku 2018 ukončil aj denný stacionár v obci Ľubotín, ktorý mal klientov aj z okolitých obcí. Najviac žiadosti v roku 2018 bolo podaných na posúdenie o odkázanosti na sociálnu službu v zariadení pre seniorov. </w:t>
      </w:r>
    </w:p>
    <w:bookmarkEnd w:id="1"/>
    <w:p w:rsidR="00D95576" w:rsidRPr="009E1457" w:rsidRDefault="00D95576" w:rsidP="00D95576">
      <w:pPr>
        <w:ind w:firstLine="708"/>
        <w:jc w:val="both"/>
      </w:pPr>
      <w:r w:rsidRPr="009E1457">
        <w:t xml:space="preserve">Na základe </w:t>
      </w:r>
      <w:r>
        <w:t>zmluvy</w:t>
      </w:r>
      <w:r w:rsidRPr="009E1457">
        <w:t xml:space="preserve"> Mesta zdravotné posudky sociálnej úradovni vypracováva  MUDr. Marián Kríž, PhD. a  Mgr. Iveta </w:t>
      </w:r>
      <w:proofErr w:type="spellStart"/>
      <w:r w:rsidRPr="009E1457">
        <w:t>Tináthová</w:t>
      </w:r>
      <w:proofErr w:type="spellEnd"/>
      <w:r w:rsidRPr="009E1457">
        <w:t>. Za vypracovanie jedného posudku je stanovená odmena vo výške 30, - €.  Za rok 2018 bola vyplatená suma za vypracovanie posudkov 1 831,06 € (vrátane mzdových odvodov).</w:t>
      </w:r>
    </w:p>
    <w:p w:rsidR="00D95576" w:rsidRPr="001D4FC2" w:rsidRDefault="00D95576" w:rsidP="00D95576">
      <w:pPr>
        <w:ind w:firstLine="708"/>
        <w:jc w:val="both"/>
      </w:pPr>
      <w:r w:rsidRPr="009E1457">
        <w:t>Obce za chod a služby spoločného obecného úradu na zabezpečenie SS zaplatili za rok 2018 príspevok v </w:t>
      </w:r>
      <w:r w:rsidRPr="002932A7">
        <w:t>sume 1,00 € /obyvateľ/rok.</w:t>
      </w:r>
    </w:p>
    <w:p w:rsidR="00A93956" w:rsidRDefault="00A93956" w:rsidP="00D95576">
      <w:pPr>
        <w:pStyle w:val="Popis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</w:p>
    <w:p w:rsidR="00A93956" w:rsidRDefault="00A93956" w:rsidP="00D95576">
      <w:pPr>
        <w:pStyle w:val="Popis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</w:p>
    <w:p w:rsidR="00D95576" w:rsidRPr="002932A7" w:rsidRDefault="00D95576" w:rsidP="00D95576">
      <w:pPr>
        <w:pStyle w:val="Popis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2932A7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Tabuľka </w:t>
      </w:r>
      <w:r w:rsidR="00A933B2" w:rsidRPr="002932A7">
        <w:rPr>
          <w:rFonts w:ascii="Times New Roman" w:hAnsi="Times New Roman" w:cs="Times New Roman"/>
          <w:i w:val="0"/>
          <w:color w:val="auto"/>
          <w:sz w:val="20"/>
          <w:szCs w:val="20"/>
        </w:rPr>
        <w:t>6:  Vyúčtovania nákladov spoločn</w:t>
      </w:r>
      <w:r w:rsidR="00BA6220" w:rsidRPr="002932A7">
        <w:rPr>
          <w:rFonts w:ascii="Times New Roman" w:hAnsi="Times New Roman" w:cs="Times New Roman"/>
          <w:i w:val="0"/>
          <w:color w:val="auto"/>
          <w:sz w:val="20"/>
          <w:szCs w:val="20"/>
        </w:rPr>
        <w:t>ého sociálneho úradu za roky 2016 - 2018</w:t>
      </w:r>
    </w:p>
    <w:tbl>
      <w:tblPr>
        <w:tblStyle w:val="Mriekatabuky"/>
        <w:tblW w:w="9070" w:type="dxa"/>
        <w:tblLook w:val="04A0" w:firstRow="1" w:lastRow="0" w:firstColumn="1" w:lastColumn="0" w:noHBand="0" w:noVBand="1"/>
      </w:tblPr>
      <w:tblGrid>
        <w:gridCol w:w="4624"/>
        <w:gridCol w:w="1482"/>
        <w:gridCol w:w="1482"/>
        <w:gridCol w:w="1482"/>
      </w:tblGrid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pPr>
              <w:rPr>
                <w:b/>
              </w:rPr>
            </w:pPr>
            <w:r w:rsidRPr="00231B1F">
              <w:rPr>
                <w:b/>
              </w:rPr>
              <w:t>Vyúčtovanie za rok: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2016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2017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2018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pPr>
              <w:rPr>
                <w:b/>
              </w:rPr>
            </w:pPr>
            <w:r w:rsidRPr="00231B1F">
              <w:rPr>
                <w:b/>
              </w:rPr>
              <w:t>Celkové príjmy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17 627,00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18 074,00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18 111,00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pPr>
              <w:rPr>
                <w:b/>
              </w:rPr>
            </w:pPr>
            <w:r w:rsidRPr="00231B1F">
              <w:rPr>
                <w:b/>
              </w:rPr>
              <w:t>Celkové výdavky: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12 751,14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17 990,03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  <w:rPr>
                <w:b/>
              </w:rPr>
            </w:pPr>
            <w:r w:rsidRPr="00231B1F">
              <w:rPr>
                <w:b/>
              </w:rPr>
              <w:t>18 643,94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Mzdy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4 791,36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9 444,00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10 262,00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Odvody z miezd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1 656,63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3 300,53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3 586,38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Interiérové vybavenie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1 549,40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Poštovné a telekomunikačné služby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313,55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373,29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368,95</w:t>
            </w:r>
          </w:p>
        </w:tc>
      </w:tr>
      <w:tr w:rsidR="00D95576" w:rsidRPr="00231B1F" w:rsidTr="00F37893">
        <w:trPr>
          <w:trHeight w:val="290"/>
        </w:trPr>
        <w:tc>
          <w:tcPr>
            <w:tcW w:w="0" w:type="auto"/>
          </w:tcPr>
          <w:p w:rsidR="00D95576" w:rsidRPr="00231B1F" w:rsidRDefault="00D95576" w:rsidP="00F37893">
            <w:r w:rsidRPr="00231B1F">
              <w:t>Školenia, kurzy, semináre, cestovné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21,10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93,80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471,61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Služby – iné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Výpočtová technika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1 008,00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299,00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Všeobecný materiál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485,21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310,27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360,41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Nájomné a služby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1 094,76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1 095,00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1 095,00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Poplatky v banke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50,62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101,50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111,04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Stravovanie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550,00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539,00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545,6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Nemocenské dávky a DOVP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0</w:t>
            </w:r>
          </w:p>
        </w:tc>
      </w:tr>
      <w:tr w:rsidR="00D95576" w:rsidRPr="00231B1F" w:rsidTr="00F37893">
        <w:trPr>
          <w:trHeight w:val="275"/>
        </w:trPr>
        <w:tc>
          <w:tcPr>
            <w:tcW w:w="0" w:type="auto"/>
          </w:tcPr>
          <w:p w:rsidR="00D95576" w:rsidRPr="00231B1F" w:rsidRDefault="00D95576" w:rsidP="00F37893">
            <w:r w:rsidRPr="00231B1F">
              <w:t>Znalecké posudky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1 230,51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2 433,64</w:t>
            </w:r>
          </w:p>
        </w:tc>
        <w:tc>
          <w:tcPr>
            <w:tcW w:w="0" w:type="auto"/>
          </w:tcPr>
          <w:p w:rsidR="00D95576" w:rsidRPr="00231B1F" w:rsidRDefault="00D95576" w:rsidP="00F37893">
            <w:pPr>
              <w:jc w:val="center"/>
            </w:pPr>
            <w:r w:rsidRPr="00231B1F">
              <w:t>1 831,06</w:t>
            </w:r>
          </w:p>
        </w:tc>
      </w:tr>
    </w:tbl>
    <w:p w:rsidR="00D95576" w:rsidRPr="00231B1F" w:rsidRDefault="00D95576" w:rsidP="00D95576">
      <w:pPr>
        <w:jc w:val="both"/>
        <w:rPr>
          <w:color w:val="C00000"/>
        </w:rPr>
      </w:pPr>
      <w:r w:rsidRPr="00231B1F">
        <w:rPr>
          <w:color w:val="C00000"/>
        </w:rPr>
        <w:tab/>
      </w:r>
    </w:p>
    <w:p w:rsidR="00D95576" w:rsidRDefault="00D95576" w:rsidP="00D95576">
      <w:pPr>
        <w:ind w:firstLine="708"/>
        <w:jc w:val="both"/>
      </w:pPr>
      <w:r>
        <w:t xml:space="preserve">Spoločný obecný úrad pre zabezpečenie SS je vedený pod oddelením soc. služieb a bytovej politiky. Zamestnáva jednu pracovnú silu na plný pracovný úväzok. </w:t>
      </w:r>
    </w:p>
    <w:p w:rsidR="00D95576" w:rsidRDefault="00D95576" w:rsidP="00D95576">
      <w:pPr>
        <w:ind w:firstLine="708"/>
        <w:jc w:val="both"/>
      </w:pPr>
      <w:r w:rsidRPr="005324BB">
        <w:t xml:space="preserve">Hlavnou náplňou Spoločného obecného úradu je </w:t>
      </w:r>
      <w:r>
        <w:t xml:space="preserve">prijímanie žiadosti na posúdenie o odkázanosti na sociálnu službu, zhromaždenie podkladov od odborných lekárov a zdravotnú dokumentáciu súvisiacu s vydaním lekárskeho posudku, spolupráca s posudkovým lekárom. Na základe potrebných zhromaždených podkladov sa vykoná sociálne šetrenie v domácom prostredí klienta. vyhotoví sa sociálny posudok (§ 50), posudok o odkázanosti na SS (§ 51) a rozhodnutie o odkázanosti na SS (§ 80/c.) – na poskytovanie sociálnej služby v zariadení pre seniorov, zariadení opatrovateľskej služby, denného stacionára a opatrovateľskej služby. Pre všetky vydané posudky a rozhodnutia o odkázanosti na SS sa vedie aj ich evidencia v súlade s § 80 cit. zákona. </w:t>
      </w:r>
    </w:p>
    <w:p w:rsidR="00D95576" w:rsidRDefault="00D95576" w:rsidP="00D95576">
      <w:pPr>
        <w:ind w:firstLine="708"/>
        <w:jc w:val="both"/>
      </w:pPr>
      <w:r>
        <w:t>Spoločný sociálny úrad pre zabezpečenie SS poskytuje aj sociálne poradenstvo, výber a vyhľadávanie zariadení poskytujúcich sociálne služby pre seniorov, pomoc pri vypisovaní žiadostí do zariadenia, spolupráca zo sociálnou poisťovňou, PSK a </w:t>
      </w:r>
      <w:proofErr w:type="spellStart"/>
      <w:r>
        <w:t>ÚPSVaR</w:t>
      </w:r>
      <w:proofErr w:type="spellEnd"/>
      <w:r>
        <w:t xml:space="preserve">.  </w:t>
      </w:r>
    </w:p>
    <w:p w:rsidR="00D95576" w:rsidRDefault="00D95576" w:rsidP="00D95576">
      <w:pPr>
        <w:ind w:firstLine="708"/>
        <w:jc w:val="both"/>
      </w:pPr>
      <w:r w:rsidRPr="00FB1AC2">
        <w:t>V rámci novelizácie zákona 448/2008 z. z. o sociálnyc</w:t>
      </w:r>
      <w:r w:rsidR="00BA6220">
        <w:t>h službách</w:t>
      </w:r>
      <w:r w:rsidRPr="00FB1AC2">
        <w:t xml:space="preserve"> sa</w:t>
      </w:r>
      <w:r w:rsidR="00BA6220">
        <w:t xml:space="preserve"> pracovníci úradu</w:t>
      </w:r>
      <w:r w:rsidRPr="00FB1AC2">
        <w:t xml:space="preserve"> zúčastnili v roku 2018 na dvoch trojdňových školeniach v Tatrách a dve jednodňové školenia v Košiciach a v Prešove.  Všetky zmeny</w:t>
      </w:r>
      <w:r>
        <w:t xml:space="preserve"> a informácie ohľadom sociálnych služieb  </w:t>
      </w:r>
      <w:r w:rsidRPr="00FB1AC2">
        <w:t xml:space="preserve">boli zaslané obciam mailom. </w:t>
      </w:r>
    </w:p>
    <w:p w:rsidR="009112EC" w:rsidRPr="00FB1AC2" w:rsidRDefault="009112EC" w:rsidP="009112EC">
      <w:pPr>
        <w:jc w:val="both"/>
      </w:pPr>
    </w:p>
    <w:p w:rsidR="00D95576" w:rsidRPr="00231B1F" w:rsidRDefault="00D95576" w:rsidP="00D95576">
      <w:pPr>
        <w:ind w:firstLine="708"/>
        <w:jc w:val="both"/>
        <w:rPr>
          <w:color w:val="C00000"/>
        </w:rPr>
      </w:pPr>
      <w:r w:rsidRPr="00231B1F">
        <w:rPr>
          <w:color w:val="C00000"/>
        </w:rPr>
        <w:tab/>
      </w:r>
    </w:p>
    <w:p w:rsidR="00DF5B7F" w:rsidRPr="002932A7" w:rsidRDefault="00DF5B7F" w:rsidP="00DF5B7F">
      <w:pPr>
        <w:jc w:val="both"/>
        <w:rPr>
          <w:b/>
        </w:rPr>
      </w:pPr>
      <w:r w:rsidRPr="002932A7">
        <w:rPr>
          <w:b/>
        </w:rPr>
        <w:t>Opatrovateľská služba</w:t>
      </w:r>
    </w:p>
    <w:p w:rsidR="00A93956" w:rsidRPr="0073031C" w:rsidRDefault="00A93956" w:rsidP="00DF5B7F">
      <w:pPr>
        <w:jc w:val="both"/>
        <w:rPr>
          <w:b/>
          <w:u w:val="single"/>
        </w:rPr>
      </w:pPr>
    </w:p>
    <w:p w:rsidR="00DF5B7F" w:rsidRDefault="00DF5B7F" w:rsidP="00DF5B7F">
      <w:pPr>
        <w:jc w:val="both"/>
      </w:pPr>
      <w:r w:rsidRPr="00F23C89">
        <w:tab/>
        <w:t>Mesto Stará Ľubovňa je v rámci sociálnych služieb poskytovateľom terénnej opatrovateľskej služby. Táto služba, kto</w:t>
      </w:r>
      <w:r>
        <w:t>rú mesto poskytuje od roku 2003,</w:t>
      </w:r>
      <w:r w:rsidRPr="00F23C89">
        <w:t xml:space="preserve"> predstavuje nosnú a zatiaľ jedinú formu terénnych sociálnych služieb </w:t>
      </w:r>
      <w:r>
        <w:t xml:space="preserve">pre </w:t>
      </w:r>
      <w:r w:rsidRPr="00F23C89">
        <w:t xml:space="preserve">seniorov, </w:t>
      </w:r>
      <w:r>
        <w:t xml:space="preserve">pre </w:t>
      </w:r>
      <w:r w:rsidRPr="00F23C89">
        <w:t>dospelých v ekonomicky aktívnom veku, avšak už neaktívnych z dôvodu zdravotného pos</w:t>
      </w:r>
      <w:r>
        <w:t>tihnutia, ale aj mladých či deti, ktorí</w:t>
      </w:r>
      <w:r w:rsidRPr="00F23C89">
        <w:t xml:space="preserve"> z dôvodu zdravotného </w:t>
      </w:r>
      <w:proofErr w:type="spellStart"/>
      <w:r w:rsidRPr="00F23C89">
        <w:t>handicapu</w:t>
      </w:r>
      <w:proofErr w:type="spellEnd"/>
      <w:r w:rsidRPr="00F23C89">
        <w:t xml:space="preserve"> nie sú schopní samostatného plnohodnotného života. Opatrovateľskú službu Mesto poskytuje žiadateľom bez vekového obmedzenia, ktorí v súlade so Zákonom 448/2008 o sociálnych službách o túto službu požiadajú a sú odkázaní na pomoc inej fyzickej osoby. Táto sociálna služba sa poskytuje v časovo vymedzenom rozsahu, počas pracovných dní a počas pracovnej doby v súlade s úradným</w:t>
      </w:r>
      <w:r>
        <w:t>i hodinami Mestského úradu od 7.30 do 15.</w:t>
      </w:r>
      <w:r w:rsidRPr="00F23C89">
        <w:t>30 h.</w:t>
      </w:r>
    </w:p>
    <w:p w:rsidR="00DF5B7F" w:rsidRDefault="00DF5B7F" w:rsidP="00DF5B7F">
      <w:pPr>
        <w:jc w:val="both"/>
      </w:pPr>
      <w:r w:rsidRPr="007135A3">
        <w:rPr>
          <w:bCs/>
          <w:color w:val="FF0000"/>
        </w:rPr>
        <w:lastRenderedPageBreak/>
        <w:tab/>
      </w:r>
      <w:r w:rsidRPr="00492F03">
        <w:rPr>
          <w:bCs/>
        </w:rPr>
        <w:t xml:space="preserve">Od </w:t>
      </w:r>
      <w:r w:rsidRPr="00492F03">
        <w:t xml:space="preserve">01.02.2016 </w:t>
      </w:r>
      <w:r>
        <w:t>do 30.04.2018 bolo</w:t>
      </w:r>
      <w:r w:rsidRPr="00492F03">
        <w:t xml:space="preserve"> Mesto zapojené do projektu Národný projekt</w:t>
      </w:r>
      <w:r w:rsidR="00BA6220">
        <w:t xml:space="preserve"> </w:t>
      </w:r>
      <w:r w:rsidRPr="00492F03">
        <w:t>- Podpora opatrovateľskej služby</w:t>
      </w:r>
      <w:r>
        <w:t xml:space="preserve"> (NP POS), ktorý bol</w:t>
      </w:r>
      <w:r w:rsidRPr="00492F03">
        <w:t xml:space="preserve"> zastrešený Implementačnou agentúrou Ministerstva práce, sociálnych vecí a rodiny Slovenskej republiky. </w:t>
      </w:r>
      <w:r>
        <w:t xml:space="preserve">Projekt bol ukončený 30.04.2018, opatrovateľskú službu zabezpečovalo 15 opatrovateliek u 18 klientov. </w:t>
      </w:r>
    </w:p>
    <w:p w:rsidR="00DF5B7F" w:rsidRPr="00911E1C" w:rsidRDefault="00DF5B7F" w:rsidP="00DF5B7F">
      <w:pPr>
        <w:ind w:firstLine="708"/>
        <w:jc w:val="both"/>
        <w:rPr>
          <w:bCs/>
        </w:rPr>
      </w:pPr>
      <w:r w:rsidRPr="00911E1C">
        <w:rPr>
          <w:bCs/>
        </w:rPr>
        <w:t xml:space="preserve">V priebehu roka 2018 bola poskytnutá opatrovateľská služba 31 klientom. Úkony opatrovateľskej služby vykonávalo u týchto opatrovaných 28 opatrovateliek. </w:t>
      </w:r>
    </w:p>
    <w:p w:rsidR="00DF5B7F" w:rsidRPr="00FF2073" w:rsidRDefault="00DF5B7F" w:rsidP="00DF5B7F">
      <w:pPr>
        <w:ind w:firstLine="708"/>
        <w:jc w:val="both"/>
        <w:rPr>
          <w:bCs/>
        </w:rPr>
      </w:pPr>
      <w:r w:rsidRPr="00FF2073">
        <w:rPr>
          <w:bCs/>
        </w:rPr>
        <w:t>K 31.12.2018 vykonávalo opatrovateľskú službu 13 opatrovateliek (z toho 1 opatrovateľka je na dlhodobej PN) u 20 klientov- u 14 žien a 6 mužov.</w:t>
      </w:r>
    </w:p>
    <w:p w:rsidR="00DF5B7F" w:rsidRDefault="00DF5B7F" w:rsidP="00DF5B7F">
      <w:pPr>
        <w:jc w:val="both"/>
        <w:rPr>
          <w:bCs/>
        </w:rPr>
      </w:pPr>
      <w:r w:rsidRPr="00FF2073">
        <w:rPr>
          <w:bCs/>
        </w:rPr>
        <w:t xml:space="preserve">Ukazovateľ  úväzku opatrovateliek je pohyblivý a ku koncu hodnoteného obdobia bol 12,6 úväzku. </w:t>
      </w:r>
    </w:p>
    <w:p w:rsidR="00DF5B7F" w:rsidRDefault="00DF5B7F" w:rsidP="00DF5B7F">
      <w:pPr>
        <w:ind w:firstLine="708"/>
        <w:jc w:val="both"/>
      </w:pPr>
      <w:r>
        <w:t>V roku 2018 bolo prijatých 15 žiadostí o poskytnutie opatrovateľskej služby a 4 žiadosti o navýšenie hodín poskytovanej opatrovateľskej služby. Deväť žiadostí bolo vybavených kladne, traja žiadatelia svoju žiadosť pozastavili a siedmi žiadatelia na poskytnutie opatrovateľskej služby pre nedostatok personálnych kapacít čakajú.</w:t>
      </w:r>
    </w:p>
    <w:p w:rsidR="00DF5B7F" w:rsidRDefault="00DF5B7F" w:rsidP="00DF5B7F">
      <w:pPr>
        <w:ind w:firstLine="708"/>
        <w:jc w:val="both"/>
      </w:pPr>
      <w:r>
        <w:t>V období 01.01.2018- 30.04.2018 bola cena za 1 hodinu poskytnutej opatrovateľskej služby 1 €. Od 01.05.2018  prijatím VZN č. 63/2018 O poskytovaní opatrovateľskej služby a poskytovaní finančného príspevku na sociálnu pomoc sa cena zvýšila na 1,30 €, z dôvodu ukončenia Národného</w:t>
      </w:r>
      <w:r w:rsidRPr="00492F03">
        <w:t xml:space="preserve"> projekt</w:t>
      </w:r>
      <w:r>
        <w:t>u</w:t>
      </w:r>
      <w:r w:rsidRPr="00492F03">
        <w:t>- Podpora opatrovateľskej služby</w:t>
      </w:r>
      <w:r>
        <w:t xml:space="preserve"> (NP POS).</w:t>
      </w:r>
    </w:p>
    <w:p w:rsidR="00DF5B7F" w:rsidRDefault="00DF5B7F" w:rsidP="002932A7">
      <w:pPr>
        <w:jc w:val="both"/>
      </w:pPr>
    </w:p>
    <w:p w:rsidR="00DF5B7F" w:rsidRDefault="00DF5B7F" w:rsidP="00DF5B7F">
      <w:pPr>
        <w:ind w:firstLine="708"/>
        <w:jc w:val="both"/>
      </w:pPr>
    </w:p>
    <w:p w:rsidR="00DF5B7F" w:rsidRDefault="00DF5B7F" w:rsidP="00DF5B7F">
      <w:pPr>
        <w:jc w:val="both"/>
        <w:rPr>
          <w:b/>
        </w:rPr>
      </w:pPr>
      <w:r w:rsidRPr="001A0EE0">
        <w:rPr>
          <w:b/>
        </w:rPr>
        <w:t>Posudková činnosť</w:t>
      </w:r>
    </w:p>
    <w:p w:rsidR="001A0EE0" w:rsidRPr="001A0EE0" w:rsidRDefault="001A0EE0" w:rsidP="00DF5B7F">
      <w:pPr>
        <w:jc w:val="both"/>
        <w:rPr>
          <w:b/>
        </w:rPr>
      </w:pPr>
    </w:p>
    <w:p w:rsidR="00DF5B7F" w:rsidRPr="00E63F42" w:rsidRDefault="00DF5B7F" w:rsidP="00DF5B7F">
      <w:pPr>
        <w:ind w:firstLine="708"/>
        <w:jc w:val="both"/>
      </w:pPr>
      <w:r w:rsidRPr="00E63F42">
        <w:t>V roku 2018 bolo podaných 46 žiadostí o posúdenie odkázanosti na sociálnu službu, 32 žiadostí podali ženy, 14 žiadostí muži. Na základe týchto žiadostí bolo vydaných 22 rozhodnutí o odkázanosti na opatrovateľskú službu, 20 rozhodnutí o odkázanosti na poskytovanie sociálnej služby v zariadení pre seniorov, 2 rozhodnutia o odkázanosti na poskytovanie sociálnej služby v dennom stacionári. V dvoch prípadoch bolo vydané rozhodnutie o </w:t>
      </w:r>
      <w:proofErr w:type="spellStart"/>
      <w:r w:rsidRPr="00E63F42">
        <w:t>neodkázanosti</w:t>
      </w:r>
      <w:proofErr w:type="spellEnd"/>
      <w:r w:rsidRPr="00E63F42">
        <w:t xml:space="preserve"> na poskytovanie sociálnej služby v zariadení pre seniorov.</w:t>
      </w:r>
    </w:p>
    <w:p w:rsidR="00DF5B7F" w:rsidRDefault="00DF5B7F" w:rsidP="00DF5B7F">
      <w:pPr>
        <w:ind w:firstLine="708"/>
        <w:jc w:val="both"/>
      </w:pPr>
      <w:r w:rsidRPr="00492F03">
        <w:t>Zdravotné posudky na zákl</w:t>
      </w:r>
      <w:r>
        <w:t>ade žiadosti Mesta od 01.02.2018</w:t>
      </w:r>
      <w:r w:rsidRPr="00492F03">
        <w:t xml:space="preserve"> vypracováva MUDr. Marián Kríž, PhD. a Mgr.&amp; Mgr. Iveta </w:t>
      </w:r>
      <w:proofErr w:type="spellStart"/>
      <w:r w:rsidRPr="00492F03">
        <w:t>Tináthová</w:t>
      </w:r>
      <w:proofErr w:type="spellEnd"/>
      <w:r w:rsidRPr="00492F03">
        <w:t xml:space="preserve"> v sume 30,- € za jeden zdravotný posudok. </w:t>
      </w:r>
    </w:p>
    <w:p w:rsidR="00DF5B7F" w:rsidRDefault="00DF5B7F" w:rsidP="00DF5B7F">
      <w:pPr>
        <w:rPr>
          <w:b/>
          <w:bCs/>
          <w:u w:val="single"/>
        </w:rPr>
      </w:pPr>
    </w:p>
    <w:p w:rsidR="00DF5B7F" w:rsidRDefault="00DF5B7F" w:rsidP="00DF5B7F">
      <w:pPr>
        <w:rPr>
          <w:b/>
          <w:bCs/>
          <w:u w:val="single"/>
        </w:rPr>
      </w:pPr>
    </w:p>
    <w:p w:rsidR="00DF5B7F" w:rsidRPr="001A0EE0" w:rsidRDefault="00DF5B7F" w:rsidP="00DF5B7F">
      <w:pPr>
        <w:rPr>
          <w:b/>
          <w:bCs/>
        </w:rPr>
      </w:pPr>
      <w:r w:rsidRPr="001A0EE0">
        <w:rPr>
          <w:b/>
          <w:bCs/>
        </w:rPr>
        <w:t>Stravovanie dôchodcov</w:t>
      </w:r>
    </w:p>
    <w:p w:rsidR="00DF5B7F" w:rsidRDefault="00DF5B7F" w:rsidP="00DF5B7F">
      <w:pPr>
        <w:rPr>
          <w:b/>
          <w:bCs/>
          <w:u w:val="single"/>
        </w:rPr>
      </w:pPr>
    </w:p>
    <w:p w:rsidR="00DF5B7F" w:rsidRDefault="001A0EE0" w:rsidP="00DF5B7F">
      <w:pPr>
        <w:jc w:val="both"/>
      </w:pPr>
      <w:r>
        <w:t xml:space="preserve">            </w:t>
      </w:r>
      <w:r w:rsidR="00DF5B7F">
        <w:t>V období od 01.01.2018 do 30.04.2018 Mesto zabezpečovalo v</w:t>
      </w:r>
      <w:r w:rsidR="00DF5B7F" w:rsidRPr="005E73D7">
        <w:t xml:space="preserve"> zmysle VZN č. 51/2009</w:t>
      </w:r>
      <w:r w:rsidR="00DF5B7F">
        <w:t xml:space="preserve"> a </w:t>
      </w:r>
      <w:r w:rsidR="00DF5B7F" w:rsidRPr="00B01A4E">
        <w:t>smernice č. 4/2009</w:t>
      </w:r>
      <w:r w:rsidR="00DF5B7F" w:rsidRPr="005E73D7">
        <w:t xml:space="preserve"> spoločné stravovanie, t.j. jedno hlavné jedlo denne pre občana mesta, ktorého stravovanie nemožno zabezpečiť inak a ktorý je poberateľom starobného alebo invalidného dôchodku a pre svoj nepriaznivý zdravotný stav je odkázaný na spoločné stravovanie.</w:t>
      </w:r>
      <w:r w:rsidR="00DF5B7F">
        <w:t xml:space="preserve"> Zároveň poskytovalo</w:t>
      </w:r>
      <w:r w:rsidR="00DF5B7F" w:rsidRPr="00B01A4E">
        <w:t xml:space="preserve"> na jedno hlavné jedlo finančný príspevok, a to vo výške 0,50 € v závislosti od výšky dôchodku</w:t>
      </w:r>
      <w:r w:rsidR="00DF5B7F">
        <w:t xml:space="preserve">- u jednotlivca do výšky príjmu 413,85 </w:t>
      </w:r>
      <w:r w:rsidR="00DF5B7F" w:rsidRPr="0043220E">
        <w:t>€</w:t>
      </w:r>
      <w:r w:rsidR="00DF5B7F" w:rsidRPr="008456CA">
        <w:t>u</w:t>
      </w:r>
      <w:r w:rsidR="00DF5B7F">
        <w:t xml:space="preserve"> viac </w:t>
      </w:r>
      <w:r w:rsidR="00DF5B7F" w:rsidRPr="008456CA">
        <w:t xml:space="preserve">posudzovaných osôb do výšky príjmu 623,00  </w:t>
      </w:r>
      <w:proofErr w:type="spellStart"/>
      <w:r w:rsidR="00DF5B7F" w:rsidRPr="008456CA">
        <w:t>€.</w:t>
      </w:r>
      <w:r w:rsidR="00DF5B7F" w:rsidRPr="005E73D7">
        <w:t>Mesto</w:t>
      </w:r>
      <w:proofErr w:type="spellEnd"/>
      <w:r w:rsidR="00DF5B7F" w:rsidRPr="005E73D7">
        <w:t xml:space="preserve"> poskytlo stravu v priemere 80 dôchodcom, z čoho </w:t>
      </w:r>
      <w:r w:rsidR="00DF5B7F">
        <w:t>cca 30</w:t>
      </w:r>
      <w:r w:rsidR="00DF5B7F" w:rsidRPr="00E41948">
        <w:t xml:space="preserve"> dôchodcom</w:t>
      </w:r>
      <w:r w:rsidR="00DF5B7F">
        <w:t xml:space="preserve"> bol priznaný príspevok na stravu. V tomto období bola 25 klientom </w:t>
      </w:r>
      <w:r w:rsidR="00DF5B7F" w:rsidRPr="005E73D7">
        <w:t xml:space="preserve">poskytnutá aj donáška  stravy. </w:t>
      </w:r>
    </w:p>
    <w:p w:rsidR="00DF5B7F" w:rsidRDefault="001A0EE0" w:rsidP="00DF5B7F">
      <w:pPr>
        <w:jc w:val="both"/>
      </w:pPr>
      <w:r>
        <w:t xml:space="preserve">            </w:t>
      </w:r>
      <w:r w:rsidR="00DF5B7F" w:rsidRPr="00E33F67">
        <w:t>Mesto</w:t>
      </w:r>
      <w:r w:rsidR="00DF5B7F">
        <w:t xml:space="preserve"> v čase 01.01.2018</w:t>
      </w:r>
      <w:r w:rsidR="00BA6220">
        <w:t xml:space="preserve"> </w:t>
      </w:r>
      <w:r w:rsidR="00DF5B7F">
        <w:t>- 30.04.2018</w:t>
      </w:r>
      <w:r w:rsidR="00BA6220">
        <w:t xml:space="preserve"> </w:t>
      </w:r>
      <w:r w:rsidR="00DF5B7F">
        <w:t xml:space="preserve">zabezpečovalo </w:t>
      </w:r>
      <w:r w:rsidR="00DF5B7F" w:rsidRPr="00E33F67">
        <w:t>str</w:t>
      </w:r>
      <w:r w:rsidR="00BA6220">
        <w:t xml:space="preserve">avovanie na základe </w:t>
      </w:r>
      <w:r w:rsidR="00DF5B7F" w:rsidRPr="00E33F67">
        <w:t xml:space="preserve">zmluvy </w:t>
      </w:r>
      <w:r w:rsidR="00BA6220">
        <w:t xml:space="preserve">uzatvorenej </w:t>
      </w:r>
      <w:r w:rsidR="00DF5B7F" w:rsidRPr="00E33F67">
        <w:t>s Domovom</w:t>
      </w:r>
      <w:r w:rsidR="00DF5B7F">
        <w:t xml:space="preserve"> pre seniorov v Starej Ľubovni,</w:t>
      </w:r>
      <w:r w:rsidR="00DF5B7F" w:rsidRPr="00E33F67">
        <w:t xml:space="preserve"> v zmysle tejto zmluvy </w:t>
      </w:r>
      <w:r w:rsidR="00DF5B7F">
        <w:t>hradilo</w:t>
      </w:r>
      <w:r w:rsidR="00DF5B7F" w:rsidRPr="00E33F67">
        <w:t xml:space="preserve"> náklady na jednu pr</w:t>
      </w:r>
      <w:r w:rsidR="00DF5B7F">
        <w:t>acovnú silu mesačne vo výške 867,00</w:t>
      </w:r>
      <w:r w:rsidR="009112EC">
        <w:t xml:space="preserve"> € počas tohto obdobia. </w:t>
      </w:r>
    </w:p>
    <w:p w:rsidR="001A0EE0" w:rsidRDefault="001A0EE0" w:rsidP="00DF5B7F">
      <w:pPr>
        <w:jc w:val="both"/>
      </w:pPr>
    </w:p>
    <w:p w:rsidR="00DF5B7F" w:rsidRPr="0043220E" w:rsidRDefault="00DF5B7F" w:rsidP="00DF5B7F">
      <w:pPr>
        <w:pStyle w:val="Normlny2"/>
        <w:jc w:val="both"/>
        <w:rPr>
          <w:rFonts w:ascii="Times New Roman" w:hAnsi="Times New Roman"/>
          <w:szCs w:val="24"/>
        </w:rPr>
      </w:pPr>
      <w:r w:rsidRPr="00F23C89">
        <w:rPr>
          <w:rFonts w:ascii="Times New Roman" w:hAnsi="Times New Roman"/>
          <w:szCs w:val="24"/>
        </w:rPr>
        <w:t xml:space="preserve">Cena za l obed platná od </w:t>
      </w:r>
      <w:r>
        <w:rPr>
          <w:rFonts w:ascii="Times New Roman" w:hAnsi="Times New Roman"/>
          <w:szCs w:val="24"/>
        </w:rPr>
        <w:t>01.03.2017 do 28.02.2018</w:t>
      </w:r>
      <w:r w:rsidR="00BA6220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>- racionálna strava   1,956</w:t>
      </w:r>
      <w:r w:rsidRPr="0043220E">
        <w:rPr>
          <w:rFonts w:ascii="Times New Roman" w:hAnsi="Times New Roman"/>
          <w:szCs w:val="24"/>
        </w:rPr>
        <w:t xml:space="preserve"> € </w:t>
      </w:r>
    </w:p>
    <w:p w:rsidR="00DF5B7F" w:rsidRPr="0043220E" w:rsidRDefault="00DF5B7F" w:rsidP="00DF5B7F">
      <w:pPr>
        <w:pStyle w:val="Normlny2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</w:t>
      </w:r>
      <w:r w:rsidR="00BA6220">
        <w:rPr>
          <w:rFonts w:ascii="Times New Roman" w:hAnsi="Times New Roman"/>
          <w:szCs w:val="24"/>
        </w:rPr>
        <w:t xml:space="preserve">                                               </w:t>
      </w:r>
      <w:r>
        <w:rPr>
          <w:rFonts w:ascii="Times New Roman" w:hAnsi="Times New Roman"/>
          <w:szCs w:val="24"/>
        </w:rPr>
        <w:t xml:space="preserve"> - DIA strava            2,20</w:t>
      </w:r>
      <w:r w:rsidRPr="0043220E">
        <w:rPr>
          <w:rFonts w:ascii="Times New Roman" w:hAnsi="Times New Roman"/>
          <w:szCs w:val="24"/>
        </w:rPr>
        <w:t>4 €</w:t>
      </w:r>
    </w:p>
    <w:p w:rsidR="00DF5B7F" w:rsidRDefault="00DF5B7F" w:rsidP="00DF5B7F">
      <w:pPr>
        <w:jc w:val="both"/>
      </w:pPr>
    </w:p>
    <w:p w:rsidR="00DF5B7F" w:rsidRPr="0043220E" w:rsidRDefault="00DF5B7F" w:rsidP="00DF5B7F">
      <w:pPr>
        <w:pStyle w:val="Normlny2"/>
        <w:jc w:val="both"/>
        <w:rPr>
          <w:rFonts w:ascii="Times New Roman" w:hAnsi="Times New Roman"/>
          <w:szCs w:val="24"/>
        </w:rPr>
      </w:pPr>
      <w:r w:rsidRPr="00F23C89">
        <w:rPr>
          <w:rFonts w:ascii="Times New Roman" w:hAnsi="Times New Roman"/>
          <w:szCs w:val="24"/>
        </w:rPr>
        <w:t xml:space="preserve">Cena za l obed platná od </w:t>
      </w:r>
      <w:r w:rsidR="00BA6220">
        <w:rPr>
          <w:rFonts w:ascii="Times New Roman" w:hAnsi="Times New Roman"/>
          <w:szCs w:val="24"/>
        </w:rPr>
        <w:t xml:space="preserve">01.03.2018 do </w:t>
      </w:r>
      <w:r>
        <w:rPr>
          <w:rFonts w:ascii="Times New Roman" w:hAnsi="Times New Roman"/>
          <w:szCs w:val="24"/>
        </w:rPr>
        <w:t xml:space="preserve">30.04.2018 </w:t>
      </w:r>
      <w:r w:rsidR="00BA6220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- racionálna strava   1,912</w:t>
      </w:r>
      <w:r w:rsidRPr="0043220E">
        <w:rPr>
          <w:rFonts w:ascii="Times New Roman" w:hAnsi="Times New Roman"/>
          <w:szCs w:val="24"/>
        </w:rPr>
        <w:t xml:space="preserve"> € </w:t>
      </w:r>
    </w:p>
    <w:p w:rsidR="00DF5B7F" w:rsidRPr="0043220E" w:rsidRDefault="00DF5B7F" w:rsidP="00DF5B7F">
      <w:pPr>
        <w:pStyle w:val="Normlny2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</w:t>
      </w:r>
      <w:r w:rsidR="00BA6220">
        <w:rPr>
          <w:rFonts w:ascii="Times New Roman" w:hAnsi="Times New Roman"/>
          <w:szCs w:val="24"/>
        </w:rPr>
        <w:t xml:space="preserve">                                               </w:t>
      </w:r>
      <w:r>
        <w:rPr>
          <w:rFonts w:ascii="Times New Roman" w:hAnsi="Times New Roman"/>
          <w:szCs w:val="24"/>
        </w:rPr>
        <w:t xml:space="preserve"> - DIA strava            2,160</w:t>
      </w:r>
      <w:r w:rsidRPr="0043220E">
        <w:rPr>
          <w:rFonts w:ascii="Times New Roman" w:hAnsi="Times New Roman"/>
          <w:szCs w:val="24"/>
        </w:rPr>
        <w:t xml:space="preserve"> €</w:t>
      </w:r>
    </w:p>
    <w:p w:rsidR="00DF5B7F" w:rsidRPr="00226C38" w:rsidRDefault="00DF5B7F" w:rsidP="00DF5B7F">
      <w:pPr>
        <w:jc w:val="both"/>
      </w:pPr>
    </w:p>
    <w:p w:rsidR="00DF5B7F" w:rsidRDefault="001A0EE0" w:rsidP="00DF5B7F">
      <w:pPr>
        <w:jc w:val="both"/>
      </w:pPr>
      <w:r>
        <w:lastRenderedPageBreak/>
        <w:t xml:space="preserve">         </w:t>
      </w:r>
      <w:r w:rsidR="00DF5B7F">
        <w:t xml:space="preserve">Dňa </w:t>
      </w:r>
      <w:r w:rsidR="00DF5B7F" w:rsidRPr="00226C38">
        <w:t>01.05.2018 nadobudlo účinnosť VZN č.63</w:t>
      </w:r>
      <w:r w:rsidR="00DF5B7F">
        <w:t>/2018 O poskytovaní opatrovateľskej služby a poskytovaní finančného príspevku na sociálnu pomoc</w:t>
      </w:r>
      <w:r w:rsidR="00DF5B7F" w:rsidRPr="00226C38">
        <w:t>, na základe ktorého Mesto zabezpečuje stravovanie prostredníctvom stravovacieho zariadenia počas pracovných dní. O</w:t>
      </w:r>
      <w:r w:rsidR="009112EC">
        <w:t> </w:t>
      </w:r>
      <w:r w:rsidR="00DF5B7F" w:rsidRPr="00226C38">
        <w:t>príspevok</w:t>
      </w:r>
      <w:r w:rsidR="009112EC">
        <w:t xml:space="preserve"> </w:t>
      </w:r>
      <w:r w:rsidR="00DF5B7F" w:rsidRPr="00226C38">
        <w:t xml:space="preserve">na stravovanie môže požiadať starobný dôchodca a invalidný dôchodca s mierou poklesu vykonávať zárobkovú činnosť nad 70 %. Príspevok Mesta na jedno hlavné jedlo  je 1,00 € pre žiadateľa - jednotlivca do výšky príjmu 450,00 €,  pre viac posudzovaných osôb do výšky príjmu 650,00  €. </w:t>
      </w:r>
    </w:p>
    <w:p w:rsidR="00DF5B7F" w:rsidRPr="00904A79" w:rsidRDefault="001A0EE0" w:rsidP="00DF5B7F">
      <w:pPr>
        <w:jc w:val="both"/>
        <w:rPr>
          <w:color w:val="FF0000"/>
        </w:rPr>
      </w:pPr>
      <w:r>
        <w:t xml:space="preserve">            </w:t>
      </w:r>
      <w:r w:rsidR="00DF5B7F">
        <w:t>Na základe prechodného ustanovenia VZN č.63 v čase od 01.05.2018 do 31.07.2018  bol priznaný príspevok na stravu všetkým stravníkom, ktorí poberali stravu do 30.04.2018 z Domova pre seniorov.</w:t>
      </w:r>
    </w:p>
    <w:p w:rsidR="00DF5B7F" w:rsidRDefault="00DF5B7F" w:rsidP="00DF5B7F">
      <w:pPr>
        <w:jc w:val="both"/>
      </w:pPr>
      <w:r>
        <w:t>V období 01.05.2018</w:t>
      </w:r>
      <w:r w:rsidR="00BA6220">
        <w:t xml:space="preserve"> </w:t>
      </w:r>
      <w:r>
        <w:t>- 31.12.2018 sa na základe verejného obstarávania stala dodávateľom stravy pre Mes</w:t>
      </w:r>
      <w:r w:rsidR="00BA6220">
        <w:t xml:space="preserve">to firma SLK- </w:t>
      </w:r>
      <w:proofErr w:type="spellStart"/>
      <w:r w:rsidR="00BA6220">
        <w:t>Catering</w:t>
      </w:r>
      <w:proofErr w:type="spellEnd"/>
      <w:r w:rsidR="00BA6220">
        <w:t>, s.r.o. C</w:t>
      </w:r>
      <w:r>
        <w:t>ena za 1 obed bola vo výške 3,15 € vrátane dovozu obeda k dverám bytu klienta.</w:t>
      </w:r>
    </w:p>
    <w:p w:rsidR="00DF5B7F" w:rsidRDefault="00DF5B7F" w:rsidP="00DF5B7F">
      <w:pPr>
        <w:jc w:val="both"/>
      </w:pPr>
      <w:r>
        <w:t>K 31.12.2018 bola strava prostredníctvom Mesta poskytnutá 83 stravníkom, z toho 39 stravníkom vznikol nárok na príspevok.</w:t>
      </w:r>
    </w:p>
    <w:p w:rsidR="00DF5B7F" w:rsidRDefault="00DF5B7F" w:rsidP="00DF5B7F">
      <w:pPr>
        <w:jc w:val="both"/>
      </w:pPr>
      <w:r>
        <w:t>V roku 2018 prispelo Mesto dôchodcom na stravu v celkovej sume 8</w:t>
      </w:r>
      <w:r w:rsidR="00BA6220">
        <w:t xml:space="preserve"> </w:t>
      </w:r>
      <w:r>
        <w:t>304,00 €.</w:t>
      </w:r>
    </w:p>
    <w:p w:rsidR="007A20FD" w:rsidRPr="00A93956" w:rsidRDefault="00DF5B7F" w:rsidP="007A20FD">
      <w:pPr>
        <w:jc w:val="both"/>
      </w:pPr>
      <w:r w:rsidRPr="00373368">
        <w:t>Verejným obstarávaním, uskutočneným v decembri roku 2018, sa dodávateľom stravy na obdobie 01.01.2019</w:t>
      </w:r>
      <w:r w:rsidR="00B7519F">
        <w:t xml:space="preserve"> </w:t>
      </w:r>
      <w:r w:rsidRPr="00373368">
        <w:t xml:space="preserve">- 30.06.2020 stala Reštaurácia Kolkáreň, s cenou 3,19 € za 1 obed vrátane dovozu </w:t>
      </w:r>
      <w:r w:rsidR="00A93956">
        <w:t>obeda k dverám klienta v jednorazovom plastovom obale.</w:t>
      </w:r>
    </w:p>
    <w:p w:rsidR="007A20FD" w:rsidRDefault="007A20FD" w:rsidP="007A20FD">
      <w:pPr>
        <w:jc w:val="both"/>
        <w:rPr>
          <w:b/>
        </w:rPr>
      </w:pPr>
    </w:p>
    <w:p w:rsidR="007A20FD" w:rsidRDefault="007A20FD" w:rsidP="007A20FD">
      <w:pPr>
        <w:jc w:val="both"/>
        <w:rPr>
          <w:b/>
        </w:rPr>
      </w:pPr>
    </w:p>
    <w:p w:rsidR="001A0EE0" w:rsidRDefault="001A0EE0" w:rsidP="007A20FD">
      <w:pPr>
        <w:jc w:val="both"/>
        <w:rPr>
          <w:b/>
        </w:rPr>
      </w:pPr>
    </w:p>
    <w:p w:rsidR="001A0EE0" w:rsidRDefault="001A0EE0" w:rsidP="007A20FD">
      <w:pPr>
        <w:jc w:val="both"/>
        <w:rPr>
          <w:b/>
        </w:rPr>
      </w:pPr>
    </w:p>
    <w:p w:rsidR="007A20FD" w:rsidRDefault="007A20FD" w:rsidP="007A20FD">
      <w:pPr>
        <w:jc w:val="both"/>
        <w:rPr>
          <w:b/>
        </w:rPr>
      </w:pPr>
      <w:r>
        <w:rPr>
          <w:b/>
        </w:rPr>
        <w:t xml:space="preserve">Bytová politika  </w:t>
      </w:r>
    </w:p>
    <w:p w:rsidR="007A20FD" w:rsidRDefault="007A20FD" w:rsidP="007A20FD">
      <w:pPr>
        <w:jc w:val="both"/>
        <w:rPr>
          <w:b/>
        </w:rPr>
      </w:pPr>
    </w:p>
    <w:p w:rsidR="001A0EE0" w:rsidRDefault="001A0EE0" w:rsidP="007A20FD">
      <w:pPr>
        <w:jc w:val="both"/>
        <w:rPr>
          <w:b/>
        </w:rPr>
      </w:pPr>
    </w:p>
    <w:p w:rsidR="007A20FD" w:rsidRDefault="001A0EE0" w:rsidP="007A20FD">
      <w:pPr>
        <w:jc w:val="both"/>
      </w:pPr>
      <w:r>
        <w:t xml:space="preserve">             </w:t>
      </w:r>
      <w:r w:rsidR="007A20FD">
        <w:t xml:space="preserve">Mesto má k  31. 12. 2018 vo vlastníctve 190 nájomných bytov. Správcom mestských nájomných bytov je </w:t>
      </w:r>
      <w:proofErr w:type="spellStart"/>
      <w:r w:rsidR="007A20FD">
        <w:t>Slobyterm</w:t>
      </w:r>
      <w:proofErr w:type="spellEnd"/>
      <w:r w:rsidR="007A20FD">
        <w:t xml:space="preserve">, spol. s r. o., Stará Ľubovňa. </w:t>
      </w:r>
    </w:p>
    <w:p w:rsidR="007A20FD" w:rsidRDefault="007A20FD" w:rsidP="007A20FD">
      <w:pPr>
        <w:jc w:val="both"/>
      </w:pPr>
    </w:p>
    <w:p w:rsidR="001A0EE0" w:rsidRDefault="001A0EE0" w:rsidP="007A20FD">
      <w:pPr>
        <w:jc w:val="both"/>
      </w:pPr>
    </w:p>
    <w:p w:rsidR="007A20FD" w:rsidRDefault="007A20FD" w:rsidP="007A20FD">
      <w:pPr>
        <w:jc w:val="both"/>
        <w:rPr>
          <w:sz w:val="20"/>
          <w:szCs w:val="20"/>
        </w:rPr>
      </w:pPr>
      <w:r>
        <w:rPr>
          <w:sz w:val="20"/>
          <w:szCs w:val="20"/>
        </w:rPr>
        <w:t>Tab. č. 7:  Mestské nájomné byty</w:t>
      </w:r>
      <w:r w:rsidR="00BA6220">
        <w:rPr>
          <w:sz w:val="20"/>
          <w:szCs w:val="20"/>
        </w:rPr>
        <w:t xml:space="preserve"> </w:t>
      </w:r>
    </w:p>
    <w:p w:rsidR="007A20FD" w:rsidRDefault="007A20FD" w:rsidP="007A20FD">
      <w:pPr>
        <w:jc w:val="both"/>
        <w:rPr>
          <w:sz w:val="20"/>
          <w:szCs w:val="20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5"/>
        <w:gridCol w:w="1080"/>
        <w:gridCol w:w="1080"/>
        <w:gridCol w:w="1080"/>
        <w:gridCol w:w="1080"/>
        <w:gridCol w:w="1080"/>
        <w:gridCol w:w="1080"/>
      </w:tblGrid>
      <w:tr w:rsidR="007A20FD" w:rsidTr="00F37893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7A20FD" w:rsidRDefault="007A20FD" w:rsidP="00F37893">
            <w:pPr>
              <w:spacing w:line="252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LOKALITA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gars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1,5-izb.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0E0E0"/>
            <w:vAlign w:val="center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3-izb.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Spolu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1770/20,22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ind w:left="-25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1787/24,26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1839/28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1894/30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1895/31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1756/18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Levočská č. 1527/20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25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Letná č. 1074/7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68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Levočská č. 372/38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Mierová č. 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Sládkovičova č.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Budovateľská č. 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mája č. 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7A20FD" w:rsidTr="00F37893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SPOLU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190</w:t>
            </w:r>
          </w:p>
        </w:tc>
      </w:tr>
    </w:tbl>
    <w:p w:rsidR="007A20FD" w:rsidRDefault="007A20FD" w:rsidP="007A20FD">
      <w:pPr>
        <w:tabs>
          <w:tab w:val="left" w:pos="6637"/>
        </w:tabs>
        <w:jc w:val="both"/>
      </w:pPr>
      <w:r>
        <w:tab/>
      </w:r>
    </w:p>
    <w:p w:rsidR="007A20FD" w:rsidRDefault="007A20FD" w:rsidP="007A20FD">
      <w:pPr>
        <w:ind w:firstLine="708"/>
        <w:jc w:val="both"/>
      </w:pPr>
      <w:r>
        <w:lastRenderedPageBreak/>
        <w:t xml:space="preserve">V roku 2018 bol jeden dvojizbový byt a jedna garsónka v bytovom dome na Levočskej ulici č. 372/38 predané cestou VOS do osobného vlastníctva. Mesto má zámer odpredať aj ostatný dvojizbový byt, ktorý vlastní v tomto bytovom dome. </w:t>
      </w:r>
    </w:p>
    <w:p w:rsidR="007A20FD" w:rsidRDefault="007A20FD" w:rsidP="007A20FD">
      <w:pPr>
        <w:ind w:firstLine="708"/>
        <w:jc w:val="both"/>
      </w:pPr>
      <w:r>
        <w:t>Byt na Mierovej ulici, Sládkovičovej a Budovateľskej ulici sú bývalé štátne byty, ktoré prešli do vlastníctva Mesta. Bývajú v nich pôvodní n</w:t>
      </w:r>
      <w:r w:rsidR="00B7519F">
        <w:t>ájomcovia, ktorí ich neodkúpili</w:t>
      </w:r>
      <w:r>
        <w:t xml:space="preserve"> do osobného vlastníctva. </w:t>
      </w:r>
    </w:p>
    <w:p w:rsidR="007A20FD" w:rsidRDefault="007A20FD" w:rsidP="007A20FD">
      <w:pPr>
        <w:ind w:firstLine="708"/>
        <w:jc w:val="both"/>
      </w:pPr>
    </w:p>
    <w:p w:rsidR="007A20FD" w:rsidRDefault="007A20FD" w:rsidP="007A20FD">
      <w:pPr>
        <w:ind w:firstLine="708"/>
        <w:jc w:val="both"/>
      </w:pPr>
      <w:r>
        <w:t xml:space="preserve">Byt na ulici 1. mája má k dispozícii Mesto. V súčasnosti ho užívajú učiteľky ZUŠ Jána </w:t>
      </w:r>
      <w:proofErr w:type="spellStart"/>
      <w:r>
        <w:t>Melkoviča</w:t>
      </w:r>
      <w:proofErr w:type="spellEnd"/>
      <w:r>
        <w:t xml:space="preserve"> z Ukrajiny. Trojizbový byt v bytovom dome č. 1756/18 Za vodou má k dispozícii Správca mestských nájomných bytov, </w:t>
      </w:r>
      <w:proofErr w:type="spellStart"/>
      <w:r>
        <w:t>Slobyterm</w:t>
      </w:r>
      <w:proofErr w:type="spellEnd"/>
      <w:r>
        <w:t xml:space="preserve">, spol. s r. o.,  ktorý ho využíva a zároveň znáša náklady za jeho užívanie. </w:t>
      </w:r>
    </w:p>
    <w:p w:rsidR="007A20FD" w:rsidRDefault="007A20FD" w:rsidP="007A20FD">
      <w:pPr>
        <w:ind w:firstLine="708"/>
        <w:jc w:val="both"/>
      </w:pPr>
      <w:r>
        <w:t>Z celkového počtu nájomných bytov sú dva dvojizbové byty v</w:t>
      </w:r>
      <w:r w:rsidR="00B7519F">
        <w:t xml:space="preserve"> bytovom dome  </w:t>
      </w:r>
      <w:r>
        <w:t>č. 1787/24 a 26  na ulici Za vodou a jeden dvojizbový byt v </w:t>
      </w:r>
      <w:r w:rsidR="00B7519F">
        <w:t>bytovom dome č. 1527/2</w:t>
      </w:r>
      <w:r>
        <w:t xml:space="preserve">  na Levočskej ulici bezbariérové.</w:t>
      </w:r>
    </w:p>
    <w:p w:rsidR="007A20FD" w:rsidRDefault="007A20FD" w:rsidP="007A20FD">
      <w:pPr>
        <w:ind w:firstLine="708"/>
        <w:jc w:val="both"/>
      </w:pPr>
    </w:p>
    <w:p w:rsidR="007A20FD" w:rsidRDefault="007A20FD" w:rsidP="007A20FD">
      <w:pPr>
        <w:ind w:firstLine="708"/>
        <w:jc w:val="both"/>
      </w:pPr>
      <w:r>
        <w:t xml:space="preserve">Okrem týchto nájomných bytov spravoval </w:t>
      </w:r>
      <w:proofErr w:type="spellStart"/>
      <w:r>
        <w:t>Slobyterm</w:t>
      </w:r>
      <w:proofErr w:type="spellEnd"/>
      <w:r>
        <w:t xml:space="preserve">, spol. s  r. o., Mestu v roku 2018  aj nájomné bývanie IV. kategórie, a to: </w:t>
      </w:r>
    </w:p>
    <w:p w:rsidR="007A20FD" w:rsidRDefault="007A20FD" w:rsidP="007A20FD">
      <w:pPr>
        <w:jc w:val="both"/>
      </w:pPr>
      <w:r>
        <w:t xml:space="preserve">dom č. 163/16 na ul. SNP, kde 5 obytných miestnosti užíva 5 rodín, spolu 37 osôb, </w:t>
      </w:r>
    </w:p>
    <w:p w:rsidR="007A20FD" w:rsidRDefault="007A20FD" w:rsidP="007A20FD">
      <w:pPr>
        <w:jc w:val="both"/>
      </w:pPr>
      <w:r>
        <w:t xml:space="preserve">dom č. 164/17 na ul. SNP kde 3 obytné miestnosti užívali 3 rodiny, spolu 14 osôb,      </w:t>
      </w:r>
    </w:p>
    <w:p w:rsidR="007A20FD" w:rsidRDefault="007A20FD" w:rsidP="007A20FD">
      <w:pPr>
        <w:jc w:val="both"/>
      </w:pPr>
      <w:r>
        <w:t>dom č. 1222/117 v  </w:t>
      </w:r>
      <w:proofErr w:type="spellStart"/>
      <w:r>
        <w:t>Podsadku</w:t>
      </w:r>
      <w:proofErr w:type="spellEnd"/>
      <w:r>
        <w:t>, kde 6 obytných miestností obývajú štyri rodiny, spolu 28 osôb,</w:t>
      </w:r>
    </w:p>
    <w:p w:rsidR="007A20FD" w:rsidRDefault="007A20FD" w:rsidP="007A20FD">
      <w:pPr>
        <w:jc w:val="both"/>
      </w:pPr>
    </w:p>
    <w:p w:rsidR="007A20FD" w:rsidRDefault="007A20FD" w:rsidP="007A20FD">
      <w:pPr>
        <w:jc w:val="both"/>
      </w:pPr>
      <w:r>
        <w:t>Po obhliadke a posúdení technického stavu bolo vedením Mesta rozhodnuté, že domy č. 157/11 a č. 164/17 na ulici SNP nie sú užívania schopné a nemôžu v ďalšom období slúžiť na poskytovanie nájomného bývania. Dom č. 157/11 je uzatvorený</w:t>
      </w:r>
      <w:r w:rsidR="00157B13">
        <w:t xml:space="preserve"> od septembra 2017 a dom</w:t>
      </w:r>
      <w:r>
        <w:t xml:space="preserve"> č. 164/17 bol v mesiaci november 2018 zbúraný.</w:t>
      </w:r>
    </w:p>
    <w:p w:rsidR="007A20FD" w:rsidRDefault="007A20FD" w:rsidP="007A20FD">
      <w:pPr>
        <w:jc w:val="both"/>
      </w:pPr>
      <w:r>
        <w:t xml:space="preserve">           Pri zabezpečovaní a poskytovaní nájomného bývania Mesto postupuje v zmysle Zákona č. 443/2010 Z. z. o dotáciách na rozvoj bývania a o sociálnom bývaní a Všeobecne záväzného nariadenia č. 6, ktorým sa stanovujú zásady prideľovania a spravovania mestských bytov.  </w:t>
      </w:r>
    </w:p>
    <w:p w:rsidR="007A20FD" w:rsidRDefault="007A20FD" w:rsidP="007A20FD">
      <w:pPr>
        <w:ind w:firstLine="708"/>
        <w:jc w:val="both"/>
      </w:pPr>
    </w:p>
    <w:p w:rsidR="001A0EE0" w:rsidRDefault="001A0EE0" w:rsidP="007A20FD">
      <w:pPr>
        <w:ind w:firstLine="708"/>
        <w:jc w:val="both"/>
      </w:pPr>
    </w:p>
    <w:p w:rsidR="001A0EE0" w:rsidRDefault="001A0EE0" w:rsidP="007A20FD">
      <w:pPr>
        <w:ind w:firstLine="708"/>
        <w:jc w:val="both"/>
      </w:pPr>
    </w:p>
    <w:p w:rsidR="007A20FD" w:rsidRPr="001A0EE0" w:rsidRDefault="007A20FD" w:rsidP="007A20FD">
      <w:pPr>
        <w:jc w:val="both"/>
        <w:rPr>
          <w:b/>
        </w:rPr>
      </w:pPr>
      <w:r w:rsidRPr="001A0EE0">
        <w:rPr>
          <w:b/>
        </w:rPr>
        <w:t xml:space="preserve">Evidencia uchádzačov o pridelenie mestského nájomného bytu    </w:t>
      </w:r>
    </w:p>
    <w:p w:rsidR="007A20FD" w:rsidRDefault="007A20FD" w:rsidP="007A20FD">
      <w:pPr>
        <w:jc w:val="both"/>
        <w:rPr>
          <w:b/>
        </w:rPr>
      </w:pPr>
    </w:p>
    <w:p w:rsidR="001A0EE0" w:rsidRDefault="001A0EE0" w:rsidP="007A20FD">
      <w:pPr>
        <w:jc w:val="both"/>
        <w:rPr>
          <w:b/>
        </w:rPr>
      </w:pPr>
    </w:p>
    <w:p w:rsidR="007A20FD" w:rsidRDefault="007A20FD" w:rsidP="007A20FD">
      <w:pPr>
        <w:ind w:firstLine="708"/>
        <w:jc w:val="both"/>
      </w:pPr>
      <w:r>
        <w:t xml:space="preserve">Po vykonanej aktualizácii evidencie uchádzačov o pridelenie mestských nájomných bytov Mesto eviduje k 31. 12. 2018 spolu 89 žiadostí. Okrem žiadostí o pridelenie nájomného bytu Mesto eviduje aj 15 žiadostí o výmenu nájomného bytu. </w:t>
      </w:r>
    </w:p>
    <w:p w:rsidR="007A20FD" w:rsidRDefault="007A20FD" w:rsidP="007A20FD">
      <w:pPr>
        <w:ind w:firstLine="708"/>
        <w:jc w:val="both"/>
        <w:rPr>
          <w:b/>
        </w:rPr>
      </w:pPr>
    </w:p>
    <w:p w:rsidR="001A0EE0" w:rsidRPr="00F12B8C" w:rsidRDefault="001A0EE0" w:rsidP="007A20FD">
      <w:pPr>
        <w:ind w:firstLine="708"/>
        <w:jc w:val="both"/>
        <w:rPr>
          <w:b/>
        </w:rPr>
      </w:pPr>
    </w:p>
    <w:p w:rsidR="007A20FD" w:rsidRPr="00F12B8C" w:rsidRDefault="007A20FD" w:rsidP="007A20FD">
      <w:pPr>
        <w:jc w:val="both"/>
        <w:rPr>
          <w:b/>
          <w:sz w:val="20"/>
          <w:szCs w:val="20"/>
        </w:rPr>
      </w:pPr>
      <w:r w:rsidRPr="00F12B8C">
        <w:rPr>
          <w:b/>
          <w:sz w:val="20"/>
          <w:szCs w:val="20"/>
        </w:rPr>
        <w:t xml:space="preserve">Tab. č. 8:  </w:t>
      </w:r>
      <w:r w:rsidR="00157B13" w:rsidRPr="00F12B8C">
        <w:rPr>
          <w:b/>
          <w:sz w:val="20"/>
          <w:szCs w:val="20"/>
        </w:rPr>
        <w:t>Evidencia žiadostí o pridelenie bytov  podľa veľkostí za obdobie  2017 -</w:t>
      </w:r>
      <w:r w:rsidR="00F12B8C" w:rsidRPr="00F12B8C">
        <w:rPr>
          <w:b/>
          <w:sz w:val="20"/>
          <w:szCs w:val="20"/>
        </w:rPr>
        <w:t xml:space="preserve"> </w:t>
      </w:r>
      <w:r w:rsidR="00157B13" w:rsidRPr="00F12B8C">
        <w:rPr>
          <w:b/>
          <w:sz w:val="20"/>
          <w:szCs w:val="20"/>
        </w:rPr>
        <w:t xml:space="preserve">2018 </w:t>
      </w:r>
    </w:p>
    <w:p w:rsidR="007A20FD" w:rsidRDefault="007A20FD" w:rsidP="007A20FD">
      <w:pPr>
        <w:jc w:val="both"/>
        <w:rPr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9"/>
        <w:gridCol w:w="1276"/>
        <w:gridCol w:w="1134"/>
        <w:gridCol w:w="992"/>
      </w:tblGrid>
      <w:tr w:rsidR="007A20FD" w:rsidTr="00F37893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20FD" w:rsidRDefault="007A20FD" w:rsidP="00F37893">
            <w:pPr>
              <w:spacing w:line="252" w:lineRule="auto"/>
              <w:jc w:val="both"/>
              <w:rPr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rozdiel</w:t>
            </w:r>
          </w:p>
        </w:tc>
      </w:tr>
      <w:tr w:rsidR="007A20FD" w:rsidTr="00F37893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0FD" w:rsidRDefault="007A20FD" w:rsidP="00F37893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 evidovaných žiadostí o pridelenie 2, 3 izb. bytu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Pr="0015492B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 w:rsidRPr="0015492B"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Pr="0015492B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+3</w:t>
            </w:r>
          </w:p>
        </w:tc>
      </w:tr>
      <w:tr w:rsidR="007A20FD" w:rsidTr="00F37893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0FD" w:rsidRDefault="007A20FD" w:rsidP="00F37893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Počet evidovaných žiadostí o pridelenie G,1,1,5 izb. </w:t>
            </w:r>
            <w:r w:rsidR="00157B13">
              <w:rPr>
                <w:lang w:eastAsia="en-US"/>
              </w:rPr>
              <w:t>B</w:t>
            </w:r>
            <w:r>
              <w:rPr>
                <w:lang w:eastAsia="en-US"/>
              </w:rPr>
              <w:t>ytu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Pr="0015492B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 w:rsidRPr="0015492B">
              <w:rPr>
                <w:lang w:eastAsia="en-US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Pr="0015492B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+2</w:t>
            </w:r>
          </w:p>
        </w:tc>
      </w:tr>
      <w:tr w:rsidR="007A20FD" w:rsidTr="00F37893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0FD" w:rsidRDefault="007A20FD" w:rsidP="004B4F21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</w:t>
            </w:r>
            <w:r w:rsidR="004B4F21">
              <w:rPr>
                <w:lang w:eastAsia="en-US"/>
              </w:rPr>
              <w:t xml:space="preserve"> evidovaných žiadostí o dostupné bývanie (cena, nižší štandard)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Pr="0015492B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 w:rsidRPr="0015492B">
              <w:rPr>
                <w:lang w:eastAsia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Pr="0015492B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-4</w:t>
            </w:r>
          </w:p>
        </w:tc>
      </w:tr>
      <w:tr w:rsidR="007A20FD" w:rsidTr="00F37893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0FD" w:rsidRDefault="007A20FD" w:rsidP="00F37893">
            <w:pPr>
              <w:spacing w:line="252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-1</w:t>
            </w:r>
          </w:p>
        </w:tc>
      </w:tr>
    </w:tbl>
    <w:p w:rsidR="007A20FD" w:rsidRDefault="007A20FD" w:rsidP="007A20FD">
      <w:pPr>
        <w:ind w:firstLine="708"/>
        <w:jc w:val="both"/>
        <w:rPr>
          <w:color w:val="00B050"/>
        </w:rPr>
      </w:pPr>
    </w:p>
    <w:p w:rsidR="001A0EE0" w:rsidRDefault="001A0EE0" w:rsidP="007A20FD">
      <w:pPr>
        <w:ind w:firstLine="708"/>
        <w:jc w:val="both"/>
        <w:rPr>
          <w:color w:val="00B050"/>
        </w:rPr>
      </w:pPr>
    </w:p>
    <w:p w:rsidR="001A0EE0" w:rsidRPr="007310CD" w:rsidRDefault="001A0EE0" w:rsidP="007A20FD">
      <w:pPr>
        <w:ind w:firstLine="708"/>
        <w:jc w:val="both"/>
        <w:rPr>
          <w:color w:val="00B050"/>
        </w:rPr>
      </w:pPr>
    </w:p>
    <w:p w:rsidR="007A20FD" w:rsidRPr="00F6090E" w:rsidRDefault="007A20FD" w:rsidP="007A20FD">
      <w:pPr>
        <w:ind w:firstLine="708"/>
        <w:jc w:val="both"/>
        <w:rPr>
          <w:color w:val="00B050"/>
        </w:rPr>
      </w:pPr>
      <w:r>
        <w:lastRenderedPageBreak/>
        <w:t>Počet žiadateľov o prenájom mestského bytu sa o</w:t>
      </w:r>
      <w:r w:rsidR="00157B13">
        <w:t xml:space="preserve">proti predchádzajúcemu roku </w:t>
      </w:r>
      <w:r>
        <w:t xml:space="preserve">výrazne nezmenil. Z uvedeného počtu žiadateľov je bez trvalého pobytu v meste Stará Ľubovňa 7 žiadateľov, avšak spolu od roku 2016  eviduje Mesto 15 takýchto žiadostí.   </w:t>
      </w:r>
    </w:p>
    <w:p w:rsidR="007A20FD" w:rsidRPr="00D91A38" w:rsidRDefault="007A20FD" w:rsidP="007A20FD">
      <w:pPr>
        <w:jc w:val="both"/>
        <w:rPr>
          <w:color w:val="00B050"/>
        </w:rPr>
      </w:pPr>
      <w:r>
        <w:t>Stále prevláda najväčší záujem o dvoj a trojizbové byty. Záujem o nájomné bývanie prejavujú aj obyvatelia  mesta s nízkym príjm</w:t>
      </w:r>
      <w:r w:rsidRPr="004B4F21">
        <w:t>om a obyvatelia odkázaní na sociálne dávky</w:t>
      </w:r>
      <w:r w:rsidRPr="00D91A38">
        <w:rPr>
          <w:color w:val="00B050"/>
        </w:rPr>
        <w:t xml:space="preserve">. </w:t>
      </w:r>
    </w:p>
    <w:p w:rsidR="007A20FD" w:rsidRDefault="007A20FD" w:rsidP="007A20FD">
      <w:pPr>
        <w:ind w:firstLine="708"/>
        <w:jc w:val="both"/>
      </w:pPr>
    </w:p>
    <w:p w:rsidR="007A20FD" w:rsidRDefault="007A20FD" w:rsidP="007A20FD">
      <w:pPr>
        <w:ind w:firstLine="708"/>
        <w:jc w:val="both"/>
      </w:pPr>
      <w:r>
        <w:t xml:space="preserve">Žiadosti o pridelenie nájomného bytu sú evidované na Mestskom úrade po dobu troch rokov od zaevidovania. O pridelenie dvojizbových a trojizbových bytov žiadajú väčšinou mladé rodiny, prípadne páry, ktoré plánujú spoločnú budúcnosť. Žiadateľmi menších bytov sú prevažne jednotlivci, osamelí rodičia, seniori a sociálne odkázaní občania.  </w:t>
      </w:r>
    </w:p>
    <w:p w:rsidR="007A20FD" w:rsidRDefault="007A20FD" w:rsidP="007A20FD">
      <w:pPr>
        <w:jc w:val="both"/>
      </w:pPr>
      <w:r>
        <w:t xml:space="preserve">Z evidovaných žiadostí v súčasnosti približne dve tretiny žiadateľov nespĺňa kritériá pre pridelenie mestského nájomného bytu stanovené VZN č. 6.  Väčšina nedokáže preukázať požadovaný príjem domácnosti.  </w:t>
      </w:r>
    </w:p>
    <w:p w:rsidR="007A20FD" w:rsidRDefault="007A20FD" w:rsidP="007A20FD">
      <w:pPr>
        <w:jc w:val="both"/>
      </w:pPr>
    </w:p>
    <w:p w:rsidR="001A0EE0" w:rsidRDefault="001A0EE0" w:rsidP="007A20FD">
      <w:pPr>
        <w:jc w:val="both"/>
        <w:rPr>
          <w:b/>
        </w:rPr>
      </w:pPr>
    </w:p>
    <w:p w:rsidR="007A20FD" w:rsidRDefault="007A20FD" w:rsidP="007A20FD">
      <w:pPr>
        <w:jc w:val="both"/>
        <w:rPr>
          <w:b/>
        </w:rPr>
      </w:pPr>
      <w:r>
        <w:rPr>
          <w:b/>
        </w:rPr>
        <w:t xml:space="preserve">Prideľovanie bytov      </w:t>
      </w:r>
    </w:p>
    <w:p w:rsidR="007A20FD" w:rsidRDefault="007A20FD" w:rsidP="007A20FD">
      <w:pPr>
        <w:jc w:val="center"/>
      </w:pPr>
    </w:p>
    <w:p w:rsidR="007A20FD" w:rsidRDefault="007A20FD" w:rsidP="007A20FD">
      <w:pPr>
        <w:tabs>
          <w:tab w:val="left" w:pos="0"/>
        </w:tabs>
        <w:jc w:val="both"/>
      </w:pPr>
      <w:r>
        <w:tab/>
        <w:t>Poradným orgánom primátora mesta v oblasti prideľovania a</w:t>
      </w:r>
      <w:r w:rsidR="00157B13">
        <w:t xml:space="preserve"> spravovania bytov </w:t>
      </w:r>
      <w:r>
        <w:t>je Komisia sociálnych vecí, rodiny, bytovej politiky a zdra</w:t>
      </w:r>
      <w:r w:rsidR="00157B13">
        <w:t xml:space="preserve">votníctva pri </w:t>
      </w:r>
      <w:proofErr w:type="spellStart"/>
      <w:r w:rsidR="00157B13">
        <w:t>MsZ</w:t>
      </w:r>
      <w:proofErr w:type="spellEnd"/>
      <w:r w:rsidR="00157B13">
        <w:t xml:space="preserve"> v Starej </w:t>
      </w:r>
      <w:r>
        <w:t>Ľubovni. Komisia sa pri posudzovaní evidovaných žiadostí o pridelenie mestských      nájomných bytov riadila VZN č. 6, ktorým sa stanovujú  zásady prideľovania a spravovania mestských bytov.</w:t>
      </w:r>
    </w:p>
    <w:p w:rsidR="00157B13" w:rsidRDefault="00157B13" w:rsidP="007A20FD">
      <w:pPr>
        <w:jc w:val="both"/>
        <w:rPr>
          <w:sz w:val="20"/>
          <w:szCs w:val="20"/>
        </w:rPr>
      </w:pPr>
    </w:p>
    <w:p w:rsidR="00157B13" w:rsidRDefault="00157B13" w:rsidP="007A20FD">
      <w:pPr>
        <w:jc w:val="both"/>
        <w:rPr>
          <w:sz w:val="20"/>
          <w:szCs w:val="20"/>
        </w:rPr>
      </w:pPr>
    </w:p>
    <w:p w:rsidR="007A20FD" w:rsidRPr="00157B13" w:rsidRDefault="007A20FD" w:rsidP="007A20FD">
      <w:pPr>
        <w:jc w:val="both"/>
        <w:rPr>
          <w:b/>
          <w:sz w:val="20"/>
          <w:szCs w:val="20"/>
        </w:rPr>
      </w:pPr>
      <w:r w:rsidRPr="00157B13">
        <w:rPr>
          <w:b/>
          <w:sz w:val="20"/>
          <w:szCs w:val="20"/>
        </w:rPr>
        <w:t>Tab. č</w:t>
      </w:r>
      <w:r w:rsidR="00157B13" w:rsidRPr="00157B13">
        <w:rPr>
          <w:b/>
          <w:sz w:val="20"/>
          <w:szCs w:val="20"/>
        </w:rPr>
        <w:t>. 9:  Evidencia žiadostí o byt za obdobie 2017 - 2018</w:t>
      </w:r>
      <w:r w:rsidRPr="00157B13">
        <w:rPr>
          <w:b/>
          <w:sz w:val="20"/>
          <w:szCs w:val="20"/>
        </w:rPr>
        <w:t xml:space="preserve"> </w:t>
      </w:r>
    </w:p>
    <w:p w:rsidR="007A20FD" w:rsidRDefault="007A20FD" w:rsidP="007A20FD">
      <w:pPr>
        <w:jc w:val="both"/>
        <w:rPr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1"/>
        <w:gridCol w:w="1134"/>
        <w:gridCol w:w="1134"/>
        <w:gridCol w:w="992"/>
      </w:tblGrid>
      <w:tr w:rsidR="007A20FD" w:rsidTr="00F37893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A20FD" w:rsidRDefault="007A20FD" w:rsidP="00F37893">
            <w:pPr>
              <w:spacing w:line="252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A20FD" w:rsidRPr="00017B1A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 w:rsidRPr="00017B1A">
              <w:rPr>
                <w:b/>
                <w:lang w:eastAsia="en-US"/>
              </w:rPr>
              <w:t>rok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A20FD" w:rsidRPr="00017B1A" w:rsidRDefault="007A20FD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 w:rsidRPr="00017B1A">
              <w:rPr>
                <w:b/>
                <w:lang w:eastAsia="en-US"/>
              </w:rPr>
              <w:t>rok 201</w:t>
            </w:r>
            <w:r>
              <w:rPr>
                <w:b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20FD" w:rsidRPr="00017B1A" w:rsidRDefault="00157B13" w:rsidP="00F37893">
            <w:pPr>
              <w:spacing w:line="252" w:lineRule="auto"/>
              <w:jc w:val="center"/>
              <w:rPr>
                <w:b/>
                <w:lang w:eastAsia="en-US"/>
              </w:rPr>
            </w:pPr>
            <w:r w:rsidRPr="00017B1A">
              <w:rPr>
                <w:b/>
                <w:lang w:eastAsia="en-US"/>
              </w:rPr>
              <w:t>R</w:t>
            </w:r>
            <w:r w:rsidR="007A20FD" w:rsidRPr="00017B1A">
              <w:rPr>
                <w:b/>
                <w:lang w:eastAsia="en-US"/>
              </w:rPr>
              <w:t>ozdiel</w:t>
            </w:r>
          </w:p>
        </w:tc>
      </w:tr>
      <w:tr w:rsidR="007A20FD" w:rsidTr="00F37893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20FD" w:rsidRDefault="007A20FD" w:rsidP="00F37893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podaných žiadostí o pridelenie bytu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</w:t>
            </w:r>
          </w:p>
        </w:tc>
      </w:tr>
      <w:tr w:rsidR="007A20FD" w:rsidTr="00F37893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Počet podaných žiadostí o opakované uzatvorenie nájomnej zmluvy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+57</w:t>
            </w:r>
          </w:p>
        </w:tc>
      </w:tr>
      <w:tr w:rsidR="007A20FD" w:rsidTr="00F37893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20FD" w:rsidRDefault="007A20FD" w:rsidP="00F37893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pridelených nájomných bytov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</w:t>
            </w:r>
          </w:p>
        </w:tc>
      </w:tr>
      <w:tr w:rsidR="007A20FD" w:rsidTr="00F37893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20FD" w:rsidRDefault="007A20FD" w:rsidP="00F37893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Výmena bytov v rámci bytového fondu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</w:t>
            </w:r>
          </w:p>
        </w:tc>
      </w:tr>
    </w:tbl>
    <w:p w:rsidR="007A20FD" w:rsidRDefault="007A20FD" w:rsidP="007A20FD">
      <w:pPr>
        <w:jc w:val="both"/>
        <w:rPr>
          <w:i/>
          <w:color w:val="00B050"/>
          <w:sz w:val="20"/>
          <w:szCs w:val="20"/>
        </w:rPr>
      </w:pPr>
    </w:p>
    <w:p w:rsidR="001A0EE0" w:rsidRPr="00D33159" w:rsidRDefault="001A0EE0" w:rsidP="007A20FD">
      <w:pPr>
        <w:jc w:val="both"/>
        <w:rPr>
          <w:i/>
          <w:color w:val="00B050"/>
          <w:sz w:val="20"/>
          <w:szCs w:val="20"/>
        </w:rPr>
      </w:pPr>
    </w:p>
    <w:p w:rsidR="007A20FD" w:rsidRDefault="007A20FD" w:rsidP="007A20FD">
      <w:pPr>
        <w:ind w:firstLine="708"/>
        <w:jc w:val="both"/>
      </w:pPr>
      <w:r>
        <w:t>V</w:t>
      </w:r>
      <w:r w:rsidRPr="00BA2D18">
        <w:t> roku 201</w:t>
      </w:r>
      <w:r>
        <w:t xml:space="preserve">8 bolo do evidencie Mesta zaevidovaných 20 žiadostí o dvoj, prípadne trojizbový nájomný byt a 21 žiadostí o jednoizbový byt, prípadne garsónku.   </w:t>
      </w:r>
    </w:p>
    <w:p w:rsidR="007A20FD" w:rsidRDefault="007A20FD" w:rsidP="007A20FD">
      <w:pPr>
        <w:ind w:firstLine="708"/>
        <w:jc w:val="both"/>
      </w:pPr>
      <w:r>
        <w:t>O predĺženie zmlúv o nájme bytu na ďalšie obdobie požiadal</w:t>
      </w:r>
      <w:r w:rsidR="00F12B8C">
        <w:t>o v roku 2018 spolu</w:t>
      </w:r>
      <w:r>
        <w:t xml:space="preserve"> 175 nájomcov. Záväzné pokyny na predĺženie zmlúv o nájme mestských bytov na ďalšie  obdobie boli vydané primátorom mesta najčastejšie na dobu jedného roka. Vo výnimočných  prípadoch boli vydané záväzné  pokyny na dobu kratšiu ako jeden rok. V roku 2018 nebol primátorom mesta vydaný  záväzný pokyn na uzatvorenie nájomnej zmluvy na dobu neurčitú.</w:t>
      </w:r>
    </w:p>
    <w:p w:rsidR="007A20FD" w:rsidRDefault="007A20FD" w:rsidP="007A20FD">
      <w:pPr>
        <w:ind w:firstLine="708"/>
        <w:jc w:val="both"/>
      </w:pPr>
    </w:p>
    <w:p w:rsidR="007A20FD" w:rsidRDefault="007A20FD" w:rsidP="007A20FD">
      <w:pPr>
        <w:ind w:firstLine="708"/>
        <w:jc w:val="both"/>
      </w:pPr>
      <w:r w:rsidRPr="00F700D6">
        <w:t>V roku 201</w:t>
      </w:r>
      <w:r>
        <w:t>8</w:t>
      </w:r>
      <w:r w:rsidRPr="00F700D6">
        <w:t xml:space="preserve"> bolo možné prideliť len </w:t>
      </w:r>
      <w:r>
        <w:t xml:space="preserve">nájomné </w:t>
      </w:r>
      <w:r w:rsidRPr="00F700D6">
        <w:t>byty</w:t>
      </w:r>
      <w:r>
        <w:t>, ktoré boli</w:t>
      </w:r>
      <w:r w:rsidRPr="00F700D6">
        <w:t xml:space="preserve"> uvoľnené predchádzajúcim nájomcom.</w:t>
      </w:r>
      <w:r>
        <w:t xml:space="preserve"> Uvoľnené byty boli pridelené 6 žiadateľom.</w:t>
      </w:r>
    </w:p>
    <w:p w:rsidR="007A20FD" w:rsidRDefault="007A20FD" w:rsidP="007A20FD">
      <w:pPr>
        <w:ind w:firstLine="708"/>
        <w:jc w:val="both"/>
      </w:pPr>
    </w:p>
    <w:p w:rsidR="007A20FD" w:rsidRPr="00F700D6" w:rsidRDefault="007A20FD" w:rsidP="007A20FD">
      <w:pPr>
        <w:ind w:firstLine="708"/>
        <w:jc w:val="both"/>
      </w:pPr>
      <w:r>
        <w:t>Výmena bytov v rámci bytového fondu Mesta sa vy</w:t>
      </w:r>
      <w:r w:rsidR="00F12B8C">
        <w:t xml:space="preserve">konala v dvoch prípadoch. </w:t>
      </w:r>
      <w:r>
        <w:t>Z domu na ul. SNP č. 157/11, ktorý bol uzatvorený pre zlý technický stav a z jedného bytu v bytovom dome č. 372/38 na Levočskej ulici, ktorý Mesto odpredalo do osobného vlastníctva, boli rodiny presťahované  do bytového domu na Levočskej ul. č. 1527/20.</w:t>
      </w:r>
    </w:p>
    <w:p w:rsidR="007A20FD" w:rsidRDefault="007A20FD" w:rsidP="007A20FD">
      <w:pPr>
        <w:ind w:firstLine="708"/>
        <w:jc w:val="both"/>
      </w:pPr>
    </w:p>
    <w:p w:rsidR="001A0EE0" w:rsidRDefault="001A0EE0" w:rsidP="007A20FD">
      <w:pPr>
        <w:ind w:firstLine="708"/>
        <w:jc w:val="both"/>
      </w:pPr>
    </w:p>
    <w:p w:rsidR="001A0EE0" w:rsidRDefault="001A0EE0" w:rsidP="007A20FD">
      <w:pPr>
        <w:ind w:firstLine="708"/>
        <w:jc w:val="both"/>
      </w:pPr>
    </w:p>
    <w:p w:rsidR="009112EC" w:rsidRPr="00F700D6" w:rsidRDefault="009112EC" w:rsidP="007A20FD">
      <w:pPr>
        <w:ind w:firstLine="708"/>
        <w:jc w:val="both"/>
      </w:pPr>
    </w:p>
    <w:p w:rsidR="007A20FD" w:rsidRPr="00E80E4E" w:rsidRDefault="007A20FD" w:rsidP="007A20FD">
      <w:pPr>
        <w:jc w:val="both"/>
        <w:rPr>
          <w:b/>
          <w:color w:val="00B050"/>
        </w:rPr>
      </w:pPr>
      <w:r w:rsidRPr="00E80E4E">
        <w:rPr>
          <w:b/>
        </w:rPr>
        <w:lastRenderedPageBreak/>
        <w:t>Pohľadávky na nájomnom</w:t>
      </w:r>
    </w:p>
    <w:p w:rsidR="007A20FD" w:rsidRDefault="007A20FD" w:rsidP="007A20FD">
      <w:pPr>
        <w:jc w:val="both"/>
      </w:pPr>
    </w:p>
    <w:p w:rsidR="00F12B8C" w:rsidRPr="001A0EE0" w:rsidRDefault="007A20FD" w:rsidP="001A0EE0">
      <w:pPr>
        <w:ind w:firstLine="708"/>
        <w:jc w:val="both"/>
      </w:pPr>
      <w:r>
        <w:t>V roku 2018 bol kladený dôraz aj na znižovanie pohľadávok správcu mestských nájomných bytov voči nájomcom mestských bytov. Výška pohľadávok na nájomnom a službách spojených s bývaním  sa v porovnaní s rokom 2017 znížila o 5 838,63 €.</w:t>
      </w:r>
    </w:p>
    <w:p w:rsidR="00F12B8C" w:rsidRPr="001A0EE0" w:rsidRDefault="00F12B8C" w:rsidP="007A20FD">
      <w:pPr>
        <w:jc w:val="both"/>
        <w:rPr>
          <w:sz w:val="20"/>
          <w:szCs w:val="20"/>
        </w:rPr>
      </w:pPr>
    </w:p>
    <w:p w:rsidR="007A20FD" w:rsidRPr="001A0EE0" w:rsidRDefault="007A20FD" w:rsidP="007A20FD">
      <w:pPr>
        <w:jc w:val="both"/>
        <w:rPr>
          <w:color w:val="00B050"/>
          <w:sz w:val="20"/>
          <w:szCs w:val="20"/>
        </w:rPr>
      </w:pPr>
      <w:r w:rsidRPr="001A0EE0">
        <w:rPr>
          <w:sz w:val="20"/>
          <w:szCs w:val="20"/>
        </w:rPr>
        <w:t xml:space="preserve">Tab. č. 10:  Porovnanie pohľadávok v €   </w:t>
      </w:r>
    </w:p>
    <w:p w:rsidR="007A20FD" w:rsidRDefault="007A20FD" w:rsidP="007A20FD">
      <w:pPr>
        <w:jc w:val="both"/>
        <w:rPr>
          <w:color w:val="00B050"/>
          <w:sz w:val="20"/>
          <w:szCs w:val="20"/>
        </w:rPr>
      </w:pPr>
    </w:p>
    <w:tbl>
      <w:tblPr>
        <w:tblW w:w="9171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2351"/>
        <w:gridCol w:w="2268"/>
        <w:gridCol w:w="2126"/>
      </w:tblGrid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20FD" w:rsidRDefault="007A20FD" w:rsidP="00F37893">
            <w:pPr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Bytový dom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pohľadávky  k 31.12.2017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pohľadávky k 31.12.2018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F12B8C" w:rsidP="00F37893">
            <w:pPr>
              <w:spacing w:line="252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</w:t>
            </w:r>
            <w:r w:rsidR="007A20FD">
              <w:rPr>
                <w:b/>
                <w:sz w:val="20"/>
                <w:szCs w:val="20"/>
                <w:lang w:eastAsia="en-US"/>
              </w:rPr>
              <w:t>orovnanie</w:t>
            </w:r>
          </w:p>
          <w:p w:rsidR="007A20FD" w:rsidRDefault="007A20FD" w:rsidP="00F37893">
            <w:pPr>
              <w:spacing w:line="252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dec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. 2017 -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dec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. 2018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Levočská 1527/20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1 647,50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2 172,52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+525,02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Levočská 372/38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2 275,75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color w:val="538135" w:themeColor="accent6" w:themeShade="BF"/>
                <w:lang w:eastAsia="en-US"/>
              </w:rPr>
            </w:pPr>
            <w:r w:rsidRPr="00431EA9">
              <w:rPr>
                <w:lang w:eastAsia="en-US"/>
              </w:rPr>
              <w:t>-2 275,75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1. mája 563/5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102,88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+102,88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Letná 1074/7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4 243,13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1 367,16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-2 875,97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 vodou 1756/18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 vodou 1770/20, 22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782,35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+782,35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 vodou 1787/24, 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1 046,45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1 525,85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+479,40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 vodou 1839/28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900,79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+900,79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 vodou 1894/30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 vodou 1895/31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333,24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-303,24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Sládkovičova 378/1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395,82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218,06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-177,76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Budovateľská 484/19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26,37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-26,37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Mierová 1105/13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1 110,12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-1 110,12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SNP 157/11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421,77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-421,77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SNP 163/16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1 407,83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688,55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-719,28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SNP 164/17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498,63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-498,63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Podsadek</w:t>
            </w:r>
            <w:proofErr w:type="spellEnd"/>
            <w:r>
              <w:rPr>
                <w:lang w:eastAsia="en-US"/>
              </w:rPr>
              <w:t xml:space="preserve"> č. 1222/117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416,74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196,56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-220,18</w:t>
            </w:r>
          </w:p>
        </w:tc>
      </w:tr>
      <w:tr w:rsidR="007A20FD" w:rsidTr="00F37893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A20FD" w:rsidRDefault="007A20FD" w:rsidP="00F37893">
            <w:pPr>
              <w:spacing w:line="252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 P O L U 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13 823,35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4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7 984,72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FD" w:rsidRDefault="007A20FD" w:rsidP="00F37893">
            <w:pPr>
              <w:spacing w:line="252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-5 838,63 </w:t>
            </w:r>
          </w:p>
        </w:tc>
      </w:tr>
    </w:tbl>
    <w:p w:rsidR="007A20FD" w:rsidRDefault="007A20FD" w:rsidP="007A20FD">
      <w:pPr>
        <w:jc w:val="both"/>
        <w:rPr>
          <w:b/>
        </w:rPr>
      </w:pPr>
    </w:p>
    <w:p w:rsidR="007A20FD" w:rsidRDefault="007A20FD" w:rsidP="007A20FD">
      <w:pPr>
        <w:ind w:firstLine="708"/>
        <w:jc w:val="both"/>
      </w:pPr>
      <w:r>
        <w:t>Uvedené pohľadávky sú pohľadávky Správcu  mestských nájomných bytov voči súčasným nájomcom, ktorí užívajú byty na základe platných zmlúv o nájme. K týmto nájomcom pristupuje Mesto v spolupráci so Správcom bytov individuálne. Žiadostiam o opakované uzatvorenie nájomnej zmluvy sa v týchto prípadoch vyhovuje zvyčajne na kratšie obdobie, uzatvára sa dohoda o splátkach dlžnej sumy prípadne sa žiadosti nevyhovie a Správca  ďalej postupuje v zmysle právnych predpisov.</w:t>
      </w:r>
    </w:p>
    <w:p w:rsidR="007A20FD" w:rsidRDefault="007A20FD" w:rsidP="007A20FD">
      <w:pPr>
        <w:ind w:firstLine="708"/>
        <w:jc w:val="both"/>
      </w:pPr>
      <w:r>
        <w:t xml:space="preserve">V pohľadávkach k 31. 12. 2018 sú započítané vo viacerých prípadoch aj neuhradené mesačné platby na január 2019 z dôvodu, že niektorí nájomcovia nepoukazujú správcovi  bytov platby za bývanie zálohovo, mesiac vopred, ale až v aktuálnom mesiaci. </w:t>
      </w:r>
    </w:p>
    <w:p w:rsidR="007A20FD" w:rsidRPr="004466C1" w:rsidRDefault="007A20FD" w:rsidP="007A20FD">
      <w:pPr>
        <w:jc w:val="both"/>
        <w:rPr>
          <w:b/>
        </w:rPr>
      </w:pPr>
      <w:r w:rsidRPr="004466C1">
        <w:t xml:space="preserve">Okrem týchto pohľadávok vymáha Správca mestských nájomných bytov, súdnou cestou, prostredníctvom exekučných konaní, prípadne iným spôsobom, aj pohľadávky voči už bývalým nájomcom mestských nájomných bytov. </w:t>
      </w:r>
    </w:p>
    <w:p w:rsidR="007A20FD" w:rsidRDefault="007A20FD" w:rsidP="003969F6">
      <w:pPr>
        <w:jc w:val="both"/>
        <w:rPr>
          <w:b/>
        </w:rPr>
      </w:pPr>
    </w:p>
    <w:p w:rsidR="007A20FD" w:rsidRDefault="007A20FD" w:rsidP="003969F6">
      <w:pPr>
        <w:jc w:val="both"/>
        <w:rPr>
          <w:b/>
        </w:rPr>
      </w:pPr>
    </w:p>
    <w:p w:rsidR="007A20FD" w:rsidRDefault="007A20FD" w:rsidP="003969F6">
      <w:pPr>
        <w:jc w:val="both"/>
        <w:rPr>
          <w:b/>
        </w:rPr>
      </w:pPr>
    </w:p>
    <w:p w:rsidR="007A20FD" w:rsidRDefault="007A20FD" w:rsidP="003969F6">
      <w:pPr>
        <w:jc w:val="both"/>
        <w:rPr>
          <w:b/>
        </w:rPr>
      </w:pPr>
    </w:p>
    <w:p w:rsidR="003969F6" w:rsidRDefault="003969F6" w:rsidP="00C86684">
      <w:pPr>
        <w:jc w:val="both"/>
        <w:rPr>
          <w:b/>
          <w:u w:val="single"/>
        </w:rPr>
      </w:pPr>
    </w:p>
    <w:p w:rsidR="003969F6" w:rsidRDefault="003969F6" w:rsidP="00C86684">
      <w:pPr>
        <w:jc w:val="both"/>
        <w:rPr>
          <w:b/>
          <w:u w:val="single"/>
        </w:rPr>
      </w:pPr>
    </w:p>
    <w:p w:rsidR="003969F6" w:rsidRDefault="003969F6" w:rsidP="00C86684">
      <w:pPr>
        <w:jc w:val="both"/>
        <w:rPr>
          <w:b/>
          <w:u w:val="single"/>
        </w:rPr>
      </w:pPr>
    </w:p>
    <w:p w:rsidR="00F12B8C" w:rsidRDefault="00F12B8C" w:rsidP="00C86684">
      <w:pPr>
        <w:jc w:val="both"/>
      </w:pPr>
    </w:p>
    <w:p w:rsidR="00751B6D" w:rsidRDefault="00751B6D" w:rsidP="00990A14">
      <w:pPr>
        <w:ind w:firstLine="708"/>
        <w:jc w:val="both"/>
      </w:pPr>
    </w:p>
    <w:p w:rsidR="001C5568" w:rsidRPr="00E640D1" w:rsidRDefault="001C5568" w:rsidP="00F12B8C">
      <w:pPr>
        <w:rPr>
          <w:b/>
        </w:rPr>
      </w:pPr>
    </w:p>
    <w:p w:rsidR="001C5568" w:rsidRPr="007A1DE0" w:rsidRDefault="001C5568" w:rsidP="001A0EE0">
      <w:r w:rsidRPr="007A1DE0">
        <w:t>„</w:t>
      </w:r>
      <w:r w:rsidRPr="007A1DE0">
        <w:rPr>
          <w:b/>
          <w:bCs/>
        </w:rPr>
        <w:t xml:space="preserve">Terénna sociálna práca a terénna práca v obciach s prítomnosťou </w:t>
      </w:r>
      <w:proofErr w:type="spellStart"/>
      <w:r w:rsidRPr="007A1DE0">
        <w:rPr>
          <w:b/>
          <w:bCs/>
        </w:rPr>
        <w:t>marginalizovaných</w:t>
      </w:r>
      <w:proofErr w:type="spellEnd"/>
      <w:r w:rsidRPr="007A1DE0">
        <w:rPr>
          <w:b/>
          <w:bCs/>
        </w:rPr>
        <w:t xml:space="preserve"> rómskych komunít“ za rok 2018</w:t>
      </w:r>
      <w:r w:rsidR="001A0EE0">
        <w:rPr>
          <w:b/>
          <w:bCs/>
        </w:rPr>
        <w:t xml:space="preserve"> – Národný projekt „</w:t>
      </w:r>
      <w:proofErr w:type="spellStart"/>
      <w:r w:rsidR="001A0EE0">
        <w:rPr>
          <w:b/>
          <w:bCs/>
        </w:rPr>
        <w:t>Take</w:t>
      </w:r>
      <w:proofErr w:type="spellEnd"/>
      <w:r w:rsidR="001A0EE0">
        <w:rPr>
          <w:b/>
          <w:bCs/>
        </w:rPr>
        <w:t xml:space="preserve"> </w:t>
      </w:r>
      <w:proofErr w:type="spellStart"/>
      <w:r w:rsidR="001A0EE0">
        <w:rPr>
          <w:b/>
          <w:bCs/>
        </w:rPr>
        <w:t>away</w:t>
      </w:r>
      <w:proofErr w:type="spellEnd"/>
      <w:r w:rsidR="001A0EE0">
        <w:rPr>
          <w:b/>
          <w:bCs/>
        </w:rPr>
        <w:t xml:space="preserve">“ </w:t>
      </w:r>
    </w:p>
    <w:p w:rsidR="001C5568" w:rsidRDefault="001C5568" w:rsidP="001C5568"/>
    <w:p w:rsidR="001A0EE0" w:rsidRPr="007A1DE0" w:rsidRDefault="001A0EE0" w:rsidP="001C5568"/>
    <w:p w:rsidR="001C5568" w:rsidRDefault="001A0EE0" w:rsidP="001C5568">
      <w:pPr>
        <w:jc w:val="both"/>
      </w:pPr>
      <w:r>
        <w:t xml:space="preserve">     </w:t>
      </w:r>
      <w:r w:rsidR="001C5568" w:rsidRPr="007A1DE0">
        <w:t>Práca TS</w:t>
      </w:r>
      <w:r w:rsidR="00F12B8C">
        <w:t xml:space="preserve">P a TP sa zameriava predovšetkým </w:t>
      </w:r>
      <w:r w:rsidR="001C5568" w:rsidRPr="007A1DE0">
        <w:t>na riešenie problémov sociálne vylúč</w:t>
      </w:r>
      <w:r w:rsidR="00F12B8C">
        <w:t>ených osôb, osôb ohrozených sociálnym</w:t>
      </w:r>
      <w:r w:rsidR="001C5568" w:rsidRPr="007A1DE0">
        <w:t xml:space="preserve"> vylúčením, ktoré sa ocitli v nepriaznivej životnej situácii, na prácu s jednotlivcom a</w:t>
      </w:r>
      <w:r w:rsidR="00F12B8C">
        <w:t> </w:t>
      </w:r>
      <w:r w:rsidR="001C5568" w:rsidRPr="007A1DE0">
        <w:t>rodinou</w:t>
      </w:r>
      <w:r w:rsidR="00F12B8C">
        <w:t>,</w:t>
      </w:r>
      <w:r w:rsidR="001C5568" w:rsidRPr="007A1DE0">
        <w:t xml:space="preserve"> kde je potrebný individuálny prístup pri riešení krízový</w:t>
      </w:r>
      <w:r w:rsidR="00F12B8C">
        <w:t>ch</w:t>
      </w:r>
      <w:r w:rsidR="001C5568" w:rsidRPr="007A1DE0">
        <w:t xml:space="preserve"> situácií a problémov klientov</w:t>
      </w:r>
      <w:r w:rsidR="00974E81">
        <w:t xml:space="preserve">. </w:t>
      </w:r>
    </w:p>
    <w:p w:rsidR="001C5568" w:rsidRPr="007A1DE0" w:rsidRDefault="001A0EE0" w:rsidP="001C5568">
      <w:pPr>
        <w:jc w:val="both"/>
      </w:pPr>
      <w:r>
        <w:t xml:space="preserve">     </w:t>
      </w:r>
      <w:r w:rsidR="001C5568" w:rsidRPr="007A1DE0">
        <w:t xml:space="preserve">Výkon terénnej sociálnej práce je zabezpečovaný 3 terénnych sociálnymi pracovníkmi a 3 terénnymi pracovníkmi v lokalitách na ul. Továrenskej, v </w:t>
      </w:r>
      <w:proofErr w:type="spellStart"/>
      <w:r w:rsidR="001C5568" w:rsidRPr="007A1DE0">
        <w:t>Podsadku</w:t>
      </w:r>
      <w:proofErr w:type="spellEnd"/>
      <w:r w:rsidR="001C5568" w:rsidRPr="007A1DE0">
        <w:t xml:space="preserve"> a meste. </w:t>
      </w:r>
    </w:p>
    <w:p w:rsidR="001C5568" w:rsidRPr="007A1DE0" w:rsidRDefault="001C5568" w:rsidP="001C5568">
      <w:pPr>
        <w:jc w:val="both"/>
      </w:pPr>
    </w:p>
    <w:p w:rsidR="001C5568" w:rsidRPr="007A1DE0" w:rsidRDefault="001C5568" w:rsidP="001C5568">
      <w:pPr>
        <w:jc w:val="both"/>
      </w:pPr>
      <w:r w:rsidRPr="007A1DE0">
        <w:t>TSP a TP za zameriava na riešenie problémov a to najmä v oblastiach ako sú:</w:t>
      </w:r>
    </w:p>
    <w:p w:rsidR="006B703D" w:rsidRDefault="001C5568" w:rsidP="001C5568">
      <w:pPr>
        <w:jc w:val="both"/>
      </w:pPr>
      <w:r w:rsidRPr="001A0EE0">
        <w:rPr>
          <w:bCs/>
          <w:i/>
        </w:rPr>
        <w:t>Zamestnanie</w:t>
      </w:r>
      <w:r w:rsidR="001A0EE0">
        <w:rPr>
          <w:b/>
          <w:bCs/>
        </w:rPr>
        <w:t xml:space="preserve"> </w:t>
      </w:r>
      <w:r w:rsidRPr="007A1DE0">
        <w:t xml:space="preserve">– pomoc pri hľadaní práce, asistencia pri písaní životopisov, pomoc klientom pri vyhľadávaní voľných pracovných ponúk, pomoc klientom pri ich evidencii ako uchádzačov o zamestnanie na </w:t>
      </w:r>
      <w:proofErr w:type="spellStart"/>
      <w:r w:rsidRPr="007A1DE0">
        <w:t>ÚPSVaR</w:t>
      </w:r>
      <w:proofErr w:type="spellEnd"/>
      <w:r>
        <w:t xml:space="preserve">, </w:t>
      </w:r>
      <w:r w:rsidRPr="007A1DE0">
        <w:t xml:space="preserve"> v spolupráci s pracovnou a</w:t>
      </w:r>
      <w:r w:rsidR="001A0EE0">
        <w:t>gentúrou sa podarilo zamestnať R</w:t>
      </w:r>
      <w:r w:rsidRPr="007A1DE0">
        <w:t xml:space="preserve">ómov vo firme </w:t>
      </w:r>
      <w:proofErr w:type="spellStart"/>
      <w:r w:rsidRPr="007A1DE0">
        <w:t>Foxconn</w:t>
      </w:r>
      <w:proofErr w:type="spellEnd"/>
      <w:r w:rsidRPr="007A1DE0">
        <w:t xml:space="preserve"> v Nitre,</w:t>
      </w:r>
      <w:r w:rsidR="001A0EE0">
        <w:t xml:space="preserve"> </w:t>
      </w:r>
      <w:r w:rsidRPr="007A1DE0">
        <w:t>pomoc pri získaní zamestnania pre klientov na zák</w:t>
      </w:r>
      <w:r w:rsidR="001A0EE0">
        <w:t xml:space="preserve">lade odporúčania TSP/TP, a pod. </w:t>
      </w:r>
    </w:p>
    <w:p w:rsidR="006B703D" w:rsidRDefault="001C5568" w:rsidP="001C5568">
      <w:pPr>
        <w:jc w:val="both"/>
      </w:pPr>
      <w:r w:rsidRPr="001A0EE0">
        <w:rPr>
          <w:bCs/>
          <w:i/>
        </w:rPr>
        <w:t>Bývanie</w:t>
      </w:r>
      <w:r w:rsidRPr="001A0EE0">
        <w:rPr>
          <w:i/>
        </w:rPr>
        <w:t xml:space="preserve"> </w:t>
      </w:r>
      <w:r w:rsidRPr="007A1DE0">
        <w:t>– pomoc pri riešení bývania, riešenie problémov so zapojením elektrickej a vodovodnej prípojky, spolupráca s MsÚ pri riešení platieb za odpad, prevencia pred vyhorením,</w:t>
      </w:r>
      <w:r w:rsidR="001A0EE0">
        <w:t xml:space="preserve"> pomoc pri riešení znečisťovania</w:t>
      </w:r>
      <w:r w:rsidRPr="007A1DE0">
        <w:t xml:space="preserve"> verejných priestranstiev a pozemkov v blízkosti obydlí ako preventívne opatrenia pred šírením infekčných ochorení, spolupráca pri deratizácii obydlí, mapovanie lokalít (Továrenská, </w:t>
      </w:r>
      <w:proofErr w:type="spellStart"/>
      <w:r w:rsidRPr="007A1DE0">
        <w:t>Podsadek</w:t>
      </w:r>
      <w:proofErr w:type="spellEnd"/>
      <w:r w:rsidRPr="007A1DE0">
        <w:t xml:space="preserve">, mesto) </w:t>
      </w:r>
      <w:r>
        <w:t xml:space="preserve"> a pod. </w:t>
      </w:r>
    </w:p>
    <w:p w:rsidR="006B703D" w:rsidRDefault="001C5568" w:rsidP="001C5568">
      <w:pPr>
        <w:jc w:val="both"/>
      </w:pPr>
      <w:r w:rsidRPr="001A0EE0">
        <w:rPr>
          <w:bCs/>
          <w:i/>
        </w:rPr>
        <w:t xml:space="preserve">Zdravie a hygiena </w:t>
      </w:r>
      <w:r w:rsidRPr="001A0EE0">
        <w:rPr>
          <w:i/>
        </w:rPr>
        <w:t>-</w:t>
      </w:r>
      <w:r w:rsidRPr="007A1DE0">
        <w:t xml:space="preserve"> spolupráca so zdravotníckymi zariadeniami, podpora zodpovedného prístupu k zdraviu - spolupráca s detskou lekárkou ohľadom dodržiavania povinných očkovaní a preventívnych prehliadok u detí, návšteva tehotenských poradní, mapovanie výskytu infekčných ochorení, mapovanie dodržiavania hygieny, organizovanie prednášok v spolupráci s RÚVZ a zubnou lekárkou, pomoc a poradenstvo rodinám s členom rodiny s ťažkým zdravotným postihnutím, sprevádzanie klientov k lekárovi a pod.</w:t>
      </w:r>
      <w:r w:rsidR="001A0EE0">
        <w:t xml:space="preserve"> </w:t>
      </w:r>
    </w:p>
    <w:p w:rsidR="001C5568" w:rsidRPr="000C22A4" w:rsidRDefault="001C5568" w:rsidP="001C5568">
      <w:pPr>
        <w:jc w:val="both"/>
      </w:pPr>
      <w:r w:rsidRPr="001A0EE0">
        <w:rPr>
          <w:bCs/>
          <w:i/>
        </w:rPr>
        <w:t>Sociálno-patologické javy</w:t>
      </w:r>
      <w:r w:rsidRPr="007A1DE0">
        <w:t xml:space="preserve"> – spolupráca so ZŠ </w:t>
      </w:r>
      <w:proofErr w:type="spellStart"/>
      <w:r w:rsidRPr="007A1DE0">
        <w:t>Podsadek</w:t>
      </w:r>
      <w:proofErr w:type="spellEnd"/>
      <w:r w:rsidRPr="007A1DE0">
        <w:t xml:space="preserve"> pri riešení záškoláctva, </w:t>
      </w:r>
      <w:r>
        <w:t>spolupráca s</w:t>
      </w:r>
      <w:r w:rsidR="001A0EE0">
        <w:t> </w:t>
      </w:r>
      <w:proofErr w:type="spellStart"/>
      <w:r w:rsidR="001A0EE0">
        <w:t>ÚPSVa</w:t>
      </w:r>
      <w:r>
        <w:t>R</w:t>
      </w:r>
      <w:proofErr w:type="spellEnd"/>
      <w:r w:rsidRPr="000C22A4">
        <w:t xml:space="preserve">- </w:t>
      </w:r>
      <w:r>
        <w:t>prevencia pred</w:t>
      </w:r>
      <w:r w:rsidRPr="000C22A4">
        <w:t xml:space="preserve"> zanedbávaní starostlivosti o</w:t>
      </w:r>
      <w:r>
        <w:t> </w:t>
      </w:r>
      <w:r w:rsidRPr="000C22A4">
        <w:t>deti, spolupráca s d</w:t>
      </w:r>
      <w:r w:rsidR="001A0EE0">
        <w:t>etskou lekárkou - zanedbávanie</w:t>
      </w:r>
      <w:r w:rsidRPr="000C22A4">
        <w:t xml:space="preserve"> starostlivosti </w:t>
      </w:r>
      <w:r w:rsidR="001A0EE0">
        <w:t>o deti,</w:t>
      </w:r>
      <w:r w:rsidRPr="000C22A4">
        <w:t xml:space="preserve"> </w:t>
      </w:r>
      <w:r w:rsidR="001A0EE0">
        <w:t>hľadanie riešenia</w:t>
      </w:r>
      <w:r w:rsidRPr="000C22A4">
        <w:t xml:space="preserve"> problému s požívaním alkoholu u</w:t>
      </w:r>
      <w:r>
        <w:t> </w:t>
      </w:r>
      <w:r w:rsidRPr="000C22A4">
        <w:t>mladi</w:t>
      </w:r>
      <w:r w:rsidR="001A0EE0">
        <w:t>stvých a</w:t>
      </w:r>
      <w:r w:rsidR="006B703D">
        <w:t> </w:t>
      </w:r>
      <w:r w:rsidR="001A0EE0">
        <w:t>pod</w:t>
      </w:r>
      <w:r w:rsidR="006B703D">
        <w:t xml:space="preserve">. </w:t>
      </w:r>
      <w:r w:rsidR="001A0EE0">
        <w:t xml:space="preserve"> </w:t>
      </w:r>
    </w:p>
    <w:p w:rsidR="001C5568" w:rsidRPr="000C22A4" w:rsidRDefault="001C5568" w:rsidP="001C5568">
      <w:pPr>
        <w:jc w:val="both"/>
      </w:pPr>
      <w:r w:rsidRPr="001A0EE0">
        <w:rPr>
          <w:bCs/>
          <w:i/>
        </w:rPr>
        <w:t>Financie –</w:t>
      </w:r>
      <w:r w:rsidRPr="007A1DE0">
        <w:t xml:space="preserve"> poradenstvo v oblastí nekalých praktík nebankových spoločností, pomoc klientom pri </w:t>
      </w:r>
      <w:proofErr w:type="spellStart"/>
      <w:r w:rsidR="001A0EE0">
        <w:t>odĺžení</w:t>
      </w:r>
      <w:proofErr w:type="spellEnd"/>
      <w:r w:rsidR="001A0EE0">
        <w:t xml:space="preserve"> </w:t>
      </w:r>
      <w:r w:rsidRPr="007A1DE0">
        <w:t>a</w:t>
      </w:r>
      <w:r w:rsidR="001A0EE0">
        <w:t xml:space="preserve"> riešení </w:t>
      </w:r>
      <w:r w:rsidRPr="007A1DE0">
        <w:t>exekúci</w:t>
      </w:r>
      <w:r w:rsidR="001A0EE0">
        <w:t>í</w:t>
      </w:r>
      <w:r w:rsidRPr="007A1DE0">
        <w:t xml:space="preserve">, </w:t>
      </w:r>
      <w:r w:rsidR="001A0EE0">
        <w:t>splátkové kalendáre</w:t>
      </w:r>
      <w:r>
        <w:t>,</w:t>
      </w:r>
      <w:r w:rsidR="001A0EE0">
        <w:t xml:space="preserve"> </w:t>
      </w:r>
      <w:r w:rsidRPr="000C22A4">
        <w:t>vedenie klientov k zodpovednému prístupu  pri splácaní dlhov, osveta pri nezadlžovaní klientov - pomoc pri účelnom hospodárení v rodinách,</w:t>
      </w:r>
      <w:r w:rsidR="001A0EE0">
        <w:t xml:space="preserve"> </w:t>
      </w:r>
      <w:r w:rsidRPr="000C22A4">
        <w:t xml:space="preserve">pomoc pri splácaní dlhov za </w:t>
      </w:r>
      <w:r w:rsidR="006B703D">
        <w:t xml:space="preserve">vývoz tuhého komunálneho odpadu. </w:t>
      </w:r>
    </w:p>
    <w:p w:rsidR="001C5568" w:rsidRPr="007A1DE0" w:rsidRDefault="001C5568" w:rsidP="001C5568">
      <w:pPr>
        <w:jc w:val="both"/>
      </w:pPr>
      <w:r w:rsidRPr="006B703D">
        <w:rPr>
          <w:bCs/>
          <w:i/>
        </w:rPr>
        <w:t>Vzdelávanie –</w:t>
      </w:r>
      <w:r w:rsidRPr="007A1DE0">
        <w:t xml:space="preserve">príprava detí na zápis do 1. ročníka a sprevádzanie detí s rodičmi pri zápise do 1. ročníka na ZŠ Levočská, spolupráca so ZŠ </w:t>
      </w:r>
      <w:proofErr w:type="spellStart"/>
      <w:r w:rsidRPr="007A1DE0">
        <w:t>Podsadek</w:t>
      </w:r>
      <w:proofErr w:type="spellEnd"/>
      <w:r w:rsidRPr="007A1DE0">
        <w:t xml:space="preserve"> – riešenie nezaplatených školských pomôcok, motivácia klientov k dokončenie povinnej školskej dochádzky a o</w:t>
      </w:r>
      <w:r>
        <w:t>sveta v pokračovaní vzdelávania.</w:t>
      </w:r>
    </w:p>
    <w:p w:rsidR="001C5568" w:rsidRPr="000C22A4" w:rsidRDefault="001C5568" w:rsidP="001C5568">
      <w:pPr>
        <w:jc w:val="both"/>
        <w:rPr>
          <w:bCs/>
        </w:rPr>
      </w:pPr>
      <w:r w:rsidRPr="006B703D">
        <w:rPr>
          <w:bCs/>
          <w:i/>
        </w:rPr>
        <w:t>Sociálne zabezpečenie -</w:t>
      </w:r>
      <w:r w:rsidRPr="007A1DE0">
        <w:rPr>
          <w:b/>
          <w:bCs/>
        </w:rPr>
        <w:t xml:space="preserve"> </w:t>
      </w:r>
      <w:r w:rsidRPr="000C22A4">
        <w:rPr>
          <w:bCs/>
        </w:rPr>
        <w:t xml:space="preserve">usmernenie klientov na kompetentné inštitúcie ohľadom vybavenia dokladov, spolupráca s MsÚ ohľadom  potravinovej pomoci “KILO” - pomoc pri distribúcii a výbere prijímateľov, pomoc pri sprostredkovaní potravinovej pomoci v spolupráci so Spišskou Katolíckou charitou, sprostredkovanie šatstva pre klientov, poradenstvo klientom pri vyplnení a písaní žiadostí </w:t>
      </w:r>
      <w:r>
        <w:rPr>
          <w:bCs/>
        </w:rPr>
        <w:t xml:space="preserve">v rôznych oblastiach sociálneho zabezpečenia a pod. </w:t>
      </w:r>
    </w:p>
    <w:p w:rsidR="009112EC" w:rsidRDefault="009112EC" w:rsidP="004B4F21">
      <w:pPr>
        <w:pStyle w:val="Normlnywebov"/>
        <w:spacing w:after="0" w:line="240" w:lineRule="auto"/>
      </w:pPr>
    </w:p>
    <w:p w:rsidR="009112EC" w:rsidRDefault="009112EC" w:rsidP="004B4F21">
      <w:pPr>
        <w:pStyle w:val="Normlnywebov"/>
        <w:spacing w:after="0" w:line="240" w:lineRule="auto"/>
      </w:pPr>
    </w:p>
    <w:p w:rsidR="009112EC" w:rsidRDefault="009112EC" w:rsidP="004B4F21">
      <w:pPr>
        <w:pStyle w:val="Normlnywebov"/>
        <w:spacing w:after="0" w:line="240" w:lineRule="auto"/>
      </w:pPr>
    </w:p>
    <w:p w:rsidR="004B4F21" w:rsidRPr="006B703D" w:rsidRDefault="006B703D" w:rsidP="004B4F21">
      <w:pPr>
        <w:pStyle w:val="Normlnywebov"/>
        <w:spacing w:after="0" w:line="240" w:lineRule="auto"/>
      </w:pPr>
      <w:proofErr w:type="spellStart"/>
      <w:r w:rsidRPr="006B703D">
        <w:rPr>
          <w:b/>
        </w:rPr>
        <w:lastRenderedPageBreak/>
        <w:t>K</w:t>
      </w:r>
      <w:r w:rsidR="00F37893" w:rsidRPr="006B703D">
        <w:rPr>
          <w:b/>
        </w:rPr>
        <w:t>omunitné</w:t>
      </w:r>
      <w:proofErr w:type="spellEnd"/>
      <w:r w:rsidR="00F37893" w:rsidRPr="006B703D">
        <w:rPr>
          <w:b/>
        </w:rPr>
        <w:t xml:space="preserve"> centrum</w:t>
      </w:r>
    </w:p>
    <w:p w:rsidR="00E566FB" w:rsidRDefault="006B703D" w:rsidP="006B703D">
      <w:pPr>
        <w:pStyle w:val="Normlnywebov"/>
        <w:spacing w:after="0" w:line="240" w:lineRule="auto"/>
        <w:jc w:val="both"/>
      </w:pPr>
      <w:r>
        <w:t xml:space="preserve">       </w:t>
      </w:r>
      <w:proofErr w:type="spellStart"/>
      <w:r w:rsidR="004B4F21">
        <w:t>Komunitné</w:t>
      </w:r>
      <w:proofErr w:type="spellEnd"/>
      <w:r w:rsidR="004B4F21">
        <w:t xml:space="preserve"> centrum </w:t>
      </w:r>
      <w:r w:rsidR="00B23EB9">
        <w:t xml:space="preserve">(ďalej „KC“ ) </w:t>
      </w:r>
      <w:r w:rsidR="00F37893">
        <w:t>v Starej Ľubovni na Továrenskej ul</w:t>
      </w:r>
      <w:r w:rsidR="00B23EB9">
        <w:t>ici</w:t>
      </w:r>
      <w:r w:rsidR="004B4F21">
        <w:t xml:space="preserve"> bolo znovuotvorené 01.06.2018. </w:t>
      </w:r>
      <w:r>
        <w:t xml:space="preserve">V roku  2018 vyhľadalo pomoc KC </w:t>
      </w:r>
      <w:r w:rsidR="00F37893">
        <w:t>107 klientov</w:t>
      </w:r>
      <w:r w:rsidR="004B4F21">
        <w:t xml:space="preserve">, </w:t>
      </w:r>
      <w:r w:rsidR="00F37893">
        <w:t xml:space="preserve"> z toho 74</w:t>
      </w:r>
      <w:r w:rsidR="004B4F21">
        <w:t xml:space="preserve"> žien</w:t>
      </w:r>
      <w:r w:rsidR="00F37893">
        <w:t>, 33</w:t>
      </w:r>
      <w:r w:rsidR="004B4F21">
        <w:t>mužov</w:t>
      </w:r>
      <w:r w:rsidR="00F37893">
        <w:t xml:space="preserve">. </w:t>
      </w:r>
      <w:r w:rsidR="00B23EB9">
        <w:t xml:space="preserve">Do aktivít KC je v súčasnosti zapojených 50 detí. </w:t>
      </w:r>
      <w:r w:rsidR="00F37893">
        <w:t>V mesiaci december 2018 došlo k výmene zamestnancov na pozícii OGKC, OPKC prostredníctvom vý</w:t>
      </w:r>
      <w:r w:rsidR="00E566FB">
        <w:t xml:space="preserve">berového konania. </w:t>
      </w:r>
      <w:proofErr w:type="spellStart"/>
      <w:r w:rsidR="00E566FB">
        <w:t>K</w:t>
      </w:r>
      <w:r w:rsidR="00F37893">
        <w:t>omunitná</w:t>
      </w:r>
      <w:proofErr w:type="spellEnd"/>
      <w:r w:rsidR="00F37893">
        <w:t xml:space="preserve"> práca </w:t>
      </w:r>
      <w:r w:rsidR="00E566FB">
        <w:t xml:space="preserve">je </w:t>
      </w:r>
      <w:r w:rsidR="00F37893">
        <w:t>akýmsi mostom medzi majoritou</w:t>
      </w:r>
      <w:r>
        <w:t xml:space="preserve"> a minoritou a KC</w:t>
      </w:r>
      <w:r w:rsidR="00F37893">
        <w:t xml:space="preserve"> je v tomto prípade vnímané ako priestor pre spoločný dialóg a aktivity. </w:t>
      </w:r>
      <w:r w:rsidR="00F37893">
        <w:rPr>
          <w:color w:val="000000"/>
        </w:rPr>
        <w:t>Zamestnanci riadenou formou práce organizačne zabezpečujú voľný čas detí a jeho efektívne trávenie. Rómske deti počas krúžku robia rôzne činnosti podľa ich výberu – maľovanie, modelovanie, tanec, spev, kreatívna činnosť a </w:t>
      </w:r>
      <w:r w:rsidR="00F37893">
        <w:t xml:space="preserve">rôzne športové hry. Do skupinových aktivít </w:t>
      </w:r>
      <w:r w:rsidR="00E566FB">
        <w:t>sú zapájané</w:t>
      </w:r>
      <w:r w:rsidR="00F37893">
        <w:t xml:space="preserve"> aj deti zo zdravot</w:t>
      </w:r>
      <w:r w:rsidR="00E566FB">
        <w:t>ným znevýhodnením. Rozvíja sa</w:t>
      </w:r>
      <w:r w:rsidR="00F37893">
        <w:t xml:space="preserve"> ich zručnosti a schopnosti potrebné pre kooperáciu s inými deťmi a</w:t>
      </w:r>
      <w:r w:rsidR="00E566FB">
        <w:t> zároveň sa tak znižujú</w:t>
      </w:r>
      <w:r w:rsidR="00F37893">
        <w:t xml:space="preserve"> riziká ich sociálneho vylúčenia. </w:t>
      </w:r>
      <w:r>
        <w:t xml:space="preserve">KC </w:t>
      </w:r>
      <w:r w:rsidR="00F37893">
        <w:t>participuje na príprave rómskych detí v predškolskom veku zameraný na prípravu zápisu detí na nástup do 1. ročníka ZŠ. Predškolská prípr</w:t>
      </w:r>
      <w:r w:rsidR="00E566FB">
        <w:t>ava sa realizuje 5x do týždňa s deťmi</w:t>
      </w:r>
      <w:r w:rsidR="00F37893">
        <w:t>, ktoré nenavštevuj</w:t>
      </w:r>
      <w:r w:rsidR="00E566FB">
        <w:t>ú predškolské zariadenia. P</w:t>
      </w:r>
      <w:r w:rsidR="00F37893">
        <w:t xml:space="preserve">ráca s deťmi </w:t>
      </w:r>
      <w:r w:rsidR="00E566FB">
        <w:t xml:space="preserve">sa zameriava na </w:t>
      </w:r>
      <w:r w:rsidR="00F37893">
        <w:t xml:space="preserve">rozvoj </w:t>
      </w:r>
      <w:proofErr w:type="spellStart"/>
      <w:r w:rsidR="00F37893">
        <w:t>graf</w:t>
      </w:r>
      <w:r w:rsidR="00E566FB">
        <w:t>omotorických</w:t>
      </w:r>
      <w:proofErr w:type="spellEnd"/>
      <w:r w:rsidR="00E566FB">
        <w:t xml:space="preserve"> schopností, </w:t>
      </w:r>
      <w:r w:rsidR="00F37893">
        <w:t xml:space="preserve">kognitívnych a </w:t>
      </w:r>
      <w:r w:rsidR="00E566FB">
        <w:t xml:space="preserve">jazykových kompetencií. </w:t>
      </w:r>
      <w:r>
        <w:t xml:space="preserve">KC </w:t>
      </w:r>
      <w:r w:rsidR="00E566FB">
        <w:t>zabezpečuje prípravu</w:t>
      </w:r>
      <w:r w:rsidR="00F37893">
        <w:t xml:space="preserve"> na školské vyučovanie a sprevádzanie dieťaťa do KC a na Továr</w:t>
      </w:r>
      <w:r w:rsidR="00E566FB">
        <w:t>enskú ulicu, realizuje</w:t>
      </w:r>
      <w:r w:rsidR="00F37893">
        <w:t xml:space="preserve"> rôzne preventívne aktivity zamerané na zdravú výživu, osobnú hygienu, finančnú gramotnosť, etiku správania a spo</w:t>
      </w:r>
      <w:r w:rsidR="00E566FB">
        <w:t>ločné predsavzatia. Organizuje</w:t>
      </w:r>
      <w:r>
        <w:t xml:space="preserve"> </w:t>
      </w:r>
      <w:proofErr w:type="spellStart"/>
      <w:r w:rsidR="00F37893">
        <w:t>komunitné</w:t>
      </w:r>
      <w:proofErr w:type="spellEnd"/>
      <w:r w:rsidR="00F37893">
        <w:t xml:space="preserve"> a rehabilitačné aktivity priamo v miestnej komunite, ktorých cieľom je vytvárať, formovať a podporovať priateľs</w:t>
      </w:r>
      <w:r w:rsidR="00E566FB">
        <w:t xml:space="preserve">ké vzťahy medzi komunitou,  napr. </w:t>
      </w:r>
      <w:r w:rsidR="00F37893">
        <w:t>guľovačka</w:t>
      </w:r>
      <w:r w:rsidR="00E566FB">
        <w:t xml:space="preserve">. </w:t>
      </w:r>
    </w:p>
    <w:p w:rsidR="00F37893" w:rsidRDefault="006B703D" w:rsidP="006B703D">
      <w:pPr>
        <w:pStyle w:val="Normlnywebov"/>
        <w:spacing w:after="0" w:line="240" w:lineRule="auto"/>
        <w:jc w:val="both"/>
      </w:pPr>
      <w:r>
        <w:t xml:space="preserve">     Okrem iného</w:t>
      </w:r>
      <w:r w:rsidR="00E566FB">
        <w:t xml:space="preserve"> sa v zmysle pla</w:t>
      </w:r>
      <w:r>
        <w:t>tného zákona v KC</w:t>
      </w:r>
      <w:r w:rsidR="00E566FB">
        <w:t xml:space="preserve"> poskytuje aj základné sociálne poradenstvo a </w:t>
      </w:r>
      <w:r w:rsidR="00F37893">
        <w:t>pomoc pri uplatňovaní prá</w:t>
      </w:r>
      <w:r w:rsidR="00E566FB">
        <w:t xml:space="preserve">v a právom chránených záujmov. </w:t>
      </w:r>
      <w:r w:rsidR="00E566FB">
        <w:rPr>
          <w:color w:val="000000"/>
        </w:rPr>
        <w:t>Základnom je o</w:t>
      </w:r>
      <w:r w:rsidR="00F37893">
        <w:rPr>
          <w:color w:val="000000"/>
        </w:rPr>
        <w:t xml:space="preserve">bjektívne posúdenie povahy problému fyzickej osoby, rodiny alebo komunity, poskytnutie základných informácií o možnostiach riešenia problému a podľa potreby aj odporučenie a sprostredkovanie ďalšej odbornej pomoci. </w:t>
      </w:r>
      <w:r w:rsidR="00E566FB">
        <w:rPr>
          <w:color w:val="000000"/>
        </w:rPr>
        <w:t xml:space="preserve">V praxi pomáhajú pracovníci </w:t>
      </w:r>
      <w:proofErr w:type="spellStart"/>
      <w:r w:rsidR="00E566FB">
        <w:rPr>
          <w:color w:val="000000"/>
        </w:rPr>
        <w:t>komunitného</w:t>
      </w:r>
      <w:proofErr w:type="spellEnd"/>
      <w:r w:rsidR="00E566FB">
        <w:rPr>
          <w:color w:val="000000"/>
        </w:rPr>
        <w:t xml:space="preserve"> centra p</w:t>
      </w:r>
      <w:r w:rsidR="00F37893">
        <w:rPr>
          <w:color w:val="000000"/>
        </w:rPr>
        <w:t>omoc pri vyhľadávaní pracovný</w:t>
      </w:r>
      <w:r w:rsidR="00E566FB">
        <w:rPr>
          <w:color w:val="000000"/>
        </w:rPr>
        <w:t>ch ponúk na internete, usmernenie pri spísaní</w:t>
      </w:r>
      <w:r w:rsidR="00F37893">
        <w:rPr>
          <w:color w:val="000000"/>
        </w:rPr>
        <w:t xml:space="preserve"> žiadosti do zamestnania a životopisu, </w:t>
      </w:r>
      <w:r w:rsidR="00B23EB9">
        <w:rPr>
          <w:color w:val="000000"/>
        </w:rPr>
        <w:t xml:space="preserve">rôznych tlačív, </w:t>
      </w:r>
      <w:r w:rsidR="00F37893">
        <w:rPr>
          <w:color w:val="000000"/>
        </w:rPr>
        <w:t>osveta ohľadne osobnej hygien</w:t>
      </w:r>
      <w:r w:rsidR="00B23EB9">
        <w:rPr>
          <w:color w:val="000000"/>
        </w:rPr>
        <w:t xml:space="preserve">y (riešenie </w:t>
      </w:r>
      <w:proofErr w:type="spellStart"/>
      <w:r w:rsidR="00B23EB9">
        <w:rPr>
          <w:color w:val="000000"/>
        </w:rPr>
        <w:t>pedikulózy</w:t>
      </w:r>
      <w:proofErr w:type="spellEnd"/>
      <w:r w:rsidR="00B23EB9">
        <w:rPr>
          <w:color w:val="000000"/>
        </w:rPr>
        <w:t>)</w:t>
      </w:r>
      <w:r w:rsidR="00F37893">
        <w:rPr>
          <w:color w:val="000000"/>
        </w:rPr>
        <w:t>, dohľad nad dodržiavaním predpísanej liečby – hlavne u školopovinných detí, pomoc pri komunikácii s ošetrujúcimi lekármi, komunikácia so základnými školami</w:t>
      </w:r>
      <w:r w:rsidR="00B23EB9">
        <w:rPr>
          <w:color w:val="000000"/>
        </w:rPr>
        <w:t xml:space="preserve"> a pod. </w:t>
      </w:r>
    </w:p>
    <w:p w:rsidR="00F37893" w:rsidRDefault="00F37893" w:rsidP="006B703D">
      <w:pPr>
        <w:pStyle w:val="Normlnywebov"/>
        <w:spacing w:after="0" w:line="360" w:lineRule="auto"/>
        <w:jc w:val="both"/>
      </w:pPr>
    </w:p>
    <w:p w:rsidR="007A4D51" w:rsidRPr="003969F6" w:rsidRDefault="007A4D51" w:rsidP="008604C3">
      <w:pPr>
        <w:jc w:val="both"/>
        <w:rPr>
          <w:color w:val="FF0000"/>
        </w:rPr>
      </w:pPr>
    </w:p>
    <w:sectPr w:rsidR="007A4D51" w:rsidRPr="003969F6" w:rsidSect="00F71CE8">
      <w:footerReference w:type="default" r:id="rId11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F2C" w:rsidRDefault="007E3F2C" w:rsidP="00052A52">
      <w:r>
        <w:separator/>
      </w:r>
    </w:p>
  </w:endnote>
  <w:endnote w:type="continuationSeparator" w:id="0">
    <w:p w:rsidR="007E3F2C" w:rsidRDefault="007E3F2C" w:rsidP="0005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787690"/>
      <w:docPartObj>
        <w:docPartGallery w:val="Page Numbers (Bottom of Page)"/>
        <w:docPartUnique/>
      </w:docPartObj>
    </w:sdtPr>
    <w:sdtContent>
      <w:p w:rsidR="009F15E3" w:rsidRDefault="009F15E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E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15E3" w:rsidRDefault="009F15E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F2C" w:rsidRDefault="007E3F2C" w:rsidP="00052A52">
      <w:r>
        <w:separator/>
      </w:r>
    </w:p>
  </w:footnote>
  <w:footnote w:type="continuationSeparator" w:id="0">
    <w:p w:rsidR="007E3F2C" w:rsidRDefault="007E3F2C" w:rsidP="00052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10"/>
        </w:tabs>
        <w:ind w:left="81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70"/>
        </w:tabs>
        <w:ind w:left="117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90"/>
        </w:tabs>
        <w:ind w:left="189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250"/>
        </w:tabs>
        <w:ind w:left="225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10"/>
        </w:tabs>
        <w:ind w:left="261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0"/>
        </w:tabs>
        <w:ind w:left="297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330"/>
        </w:tabs>
        <w:ind w:left="333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32269D7"/>
    <w:multiLevelType w:val="hybridMultilevel"/>
    <w:tmpl w:val="356E360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675335"/>
    <w:multiLevelType w:val="hybridMultilevel"/>
    <w:tmpl w:val="729E84AA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49AD2736"/>
    <w:multiLevelType w:val="hybridMultilevel"/>
    <w:tmpl w:val="AA6A2FE0"/>
    <w:lvl w:ilvl="0" w:tplc="0708218E">
      <w:start w:val="3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3E12E83"/>
    <w:multiLevelType w:val="hybridMultilevel"/>
    <w:tmpl w:val="BA7E2A7E"/>
    <w:lvl w:ilvl="0" w:tplc="5DCA6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9F029D"/>
    <w:multiLevelType w:val="hybridMultilevel"/>
    <w:tmpl w:val="86F854D2"/>
    <w:lvl w:ilvl="0" w:tplc="8294DB8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E606243"/>
    <w:multiLevelType w:val="hybridMultilevel"/>
    <w:tmpl w:val="DBEED5E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7D0BF5"/>
    <w:multiLevelType w:val="hybridMultilevel"/>
    <w:tmpl w:val="68B4600A"/>
    <w:lvl w:ilvl="0" w:tplc="B832ED70">
      <w:start w:val="1"/>
      <w:numFmt w:val="lowerLetter"/>
      <w:lvlText w:val="%1)"/>
      <w:lvlJc w:val="left"/>
      <w:pPr>
        <w:ind w:left="420" w:hanging="360"/>
      </w:pPr>
      <w:rPr>
        <w:rFonts w:eastAsiaTheme="minorEastAsia"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8E37A5D"/>
    <w:multiLevelType w:val="hybridMultilevel"/>
    <w:tmpl w:val="343A260C"/>
    <w:lvl w:ilvl="0" w:tplc="62E09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85261B"/>
    <w:multiLevelType w:val="hybridMultilevel"/>
    <w:tmpl w:val="D020DF54"/>
    <w:lvl w:ilvl="0" w:tplc="80EA33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74"/>
    <w:rsid w:val="00030561"/>
    <w:rsid w:val="00043ECE"/>
    <w:rsid w:val="00052A52"/>
    <w:rsid w:val="00080E56"/>
    <w:rsid w:val="000944E0"/>
    <w:rsid w:val="00097B20"/>
    <w:rsid w:val="000E05F8"/>
    <w:rsid w:val="00132940"/>
    <w:rsid w:val="00134E95"/>
    <w:rsid w:val="00157B13"/>
    <w:rsid w:val="001A0EE0"/>
    <w:rsid w:val="001C1FE3"/>
    <w:rsid w:val="001C2A13"/>
    <w:rsid w:val="001C5568"/>
    <w:rsid w:val="001D3160"/>
    <w:rsid w:val="001D6AED"/>
    <w:rsid w:val="001D72F2"/>
    <w:rsid w:val="001E6253"/>
    <w:rsid w:val="00203C34"/>
    <w:rsid w:val="002426C2"/>
    <w:rsid w:val="00252F8B"/>
    <w:rsid w:val="00283A5F"/>
    <w:rsid w:val="002932A7"/>
    <w:rsid w:val="002A10C3"/>
    <w:rsid w:val="002A45AC"/>
    <w:rsid w:val="002D3C5C"/>
    <w:rsid w:val="002E7B3A"/>
    <w:rsid w:val="002F0F03"/>
    <w:rsid w:val="0030463B"/>
    <w:rsid w:val="0034531D"/>
    <w:rsid w:val="00353DDD"/>
    <w:rsid w:val="0035527D"/>
    <w:rsid w:val="003969F6"/>
    <w:rsid w:val="003A3990"/>
    <w:rsid w:val="003D2D65"/>
    <w:rsid w:val="003D75C8"/>
    <w:rsid w:val="003F475C"/>
    <w:rsid w:val="00423463"/>
    <w:rsid w:val="00432298"/>
    <w:rsid w:val="00436D7E"/>
    <w:rsid w:val="0045675B"/>
    <w:rsid w:val="00457710"/>
    <w:rsid w:val="004820AC"/>
    <w:rsid w:val="004A2C76"/>
    <w:rsid w:val="004B4F21"/>
    <w:rsid w:val="004C0018"/>
    <w:rsid w:val="004C1A17"/>
    <w:rsid w:val="004C2FF5"/>
    <w:rsid w:val="004C53D1"/>
    <w:rsid w:val="004D4E78"/>
    <w:rsid w:val="004F13DD"/>
    <w:rsid w:val="004F2E9D"/>
    <w:rsid w:val="0050115A"/>
    <w:rsid w:val="00550590"/>
    <w:rsid w:val="005A35A3"/>
    <w:rsid w:val="005A5C45"/>
    <w:rsid w:val="005B6FDE"/>
    <w:rsid w:val="005B754C"/>
    <w:rsid w:val="005F3FF8"/>
    <w:rsid w:val="006431B7"/>
    <w:rsid w:val="00681A3F"/>
    <w:rsid w:val="00682D35"/>
    <w:rsid w:val="00686695"/>
    <w:rsid w:val="00692864"/>
    <w:rsid w:val="006A07FD"/>
    <w:rsid w:val="006B703D"/>
    <w:rsid w:val="006C1296"/>
    <w:rsid w:val="006D1639"/>
    <w:rsid w:val="006D21F4"/>
    <w:rsid w:val="006F4B45"/>
    <w:rsid w:val="007008D3"/>
    <w:rsid w:val="00701064"/>
    <w:rsid w:val="00706A6F"/>
    <w:rsid w:val="00711E0D"/>
    <w:rsid w:val="00747D9B"/>
    <w:rsid w:val="00751B6D"/>
    <w:rsid w:val="007637B1"/>
    <w:rsid w:val="00764D06"/>
    <w:rsid w:val="007A20FD"/>
    <w:rsid w:val="007A4D51"/>
    <w:rsid w:val="007E1504"/>
    <w:rsid w:val="007E3F2C"/>
    <w:rsid w:val="007E595D"/>
    <w:rsid w:val="00807BE1"/>
    <w:rsid w:val="0082106D"/>
    <w:rsid w:val="00821272"/>
    <w:rsid w:val="00822400"/>
    <w:rsid w:val="00834EA1"/>
    <w:rsid w:val="00845627"/>
    <w:rsid w:val="008604C3"/>
    <w:rsid w:val="00864E58"/>
    <w:rsid w:val="008922FE"/>
    <w:rsid w:val="008A254C"/>
    <w:rsid w:val="008D56F5"/>
    <w:rsid w:val="009112EC"/>
    <w:rsid w:val="0094152F"/>
    <w:rsid w:val="00942DAD"/>
    <w:rsid w:val="00955D04"/>
    <w:rsid w:val="009617FC"/>
    <w:rsid w:val="00961EB4"/>
    <w:rsid w:val="009722DF"/>
    <w:rsid w:val="00974E81"/>
    <w:rsid w:val="00990A14"/>
    <w:rsid w:val="009A4FA7"/>
    <w:rsid w:val="009B1B65"/>
    <w:rsid w:val="009F15E3"/>
    <w:rsid w:val="009F7104"/>
    <w:rsid w:val="00A05A16"/>
    <w:rsid w:val="00A131B7"/>
    <w:rsid w:val="00A14EAD"/>
    <w:rsid w:val="00A4417F"/>
    <w:rsid w:val="00A5751C"/>
    <w:rsid w:val="00A862D1"/>
    <w:rsid w:val="00A933B2"/>
    <w:rsid w:val="00A93956"/>
    <w:rsid w:val="00AA7F12"/>
    <w:rsid w:val="00AF587B"/>
    <w:rsid w:val="00B13679"/>
    <w:rsid w:val="00B23EB9"/>
    <w:rsid w:val="00B7519F"/>
    <w:rsid w:val="00B77EB2"/>
    <w:rsid w:val="00B92B42"/>
    <w:rsid w:val="00BA6220"/>
    <w:rsid w:val="00BA77D3"/>
    <w:rsid w:val="00BD5920"/>
    <w:rsid w:val="00C042F9"/>
    <w:rsid w:val="00C07C0F"/>
    <w:rsid w:val="00C10A96"/>
    <w:rsid w:val="00C12C13"/>
    <w:rsid w:val="00C45743"/>
    <w:rsid w:val="00C46AA7"/>
    <w:rsid w:val="00C5506E"/>
    <w:rsid w:val="00C6274C"/>
    <w:rsid w:val="00C86684"/>
    <w:rsid w:val="00C904ED"/>
    <w:rsid w:val="00C91601"/>
    <w:rsid w:val="00C9474B"/>
    <w:rsid w:val="00CA1925"/>
    <w:rsid w:val="00CC2F8C"/>
    <w:rsid w:val="00CD2D86"/>
    <w:rsid w:val="00D40BEB"/>
    <w:rsid w:val="00D83C8B"/>
    <w:rsid w:val="00D84571"/>
    <w:rsid w:val="00D95576"/>
    <w:rsid w:val="00DC23C6"/>
    <w:rsid w:val="00DC2E3A"/>
    <w:rsid w:val="00DF5B7F"/>
    <w:rsid w:val="00DF6C8D"/>
    <w:rsid w:val="00E13B2B"/>
    <w:rsid w:val="00E24606"/>
    <w:rsid w:val="00E24E52"/>
    <w:rsid w:val="00E566FB"/>
    <w:rsid w:val="00E56BAE"/>
    <w:rsid w:val="00E65F01"/>
    <w:rsid w:val="00E75274"/>
    <w:rsid w:val="00E9597B"/>
    <w:rsid w:val="00ED0001"/>
    <w:rsid w:val="00F12B8C"/>
    <w:rsid w:val="00F132F4"/>
    <w:rsid w:val="00F374AA"/>
    <w:rsid w:val="00F37893"/>
    <w:rsid w:val="00F4184D"/>
    <w:rsid w:val="00F71CE8"/>
    <w:rsid w:val="00F7782D"/>
    <w:rsid w:val="00F82DB3"/>
    <w:rsid w:val="00F86492"/>
    <w:rsid w:val="00F90FF6"/>
    <w:rsid w:val="00FC707A"/>
    <w:rsid w:val="00FD4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2">
    <w:name w:val="Normálny2"/>
    <w:basedOn w:val="Normlny"/>
    <w:rsid w:val="000E05F8"/>
    <w:pPr>
      <w:widowControl w:val="0"/>
      <w:suppressAutoHyphens/>
      <w:overflowPunct w:val="0"/>
      <w:autoSpaceDE w:val="0"/>
      <w:autoSpaceDN w:val="0"/>
      <w:adjustRightInd w:val="0"/>
      <w:spacing w:line="200" w:lineRule="atLeast"/>
      <w:textAlignment w:val="baseline"/>
    </w:pPr>
    <w:rPr>
      <w:rFonts w:ascii="Thorndale" w:hAnsi="Thorndale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7D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7D9B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3969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052A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2A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52A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2A52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E65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D95576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Normlnywebov">
    <w:name w:val="Normal (Web)"/>
    <w:basedOn w:val="Normlny"/>
    <w:unhideWhenUsed/>
    <w:rsid w:val="00F37893"/>
    <w:pPr>
      <w:spacing w:before="100" w:beforeAutospacing="1" w:after="142" w:line="288" w:lineRule="auto"/>
    </w:pPr>
  </w:style>
  <w:style w:type="paragraph" w:customStyle="1" w:styleId="Odsekzoznamu1">
    <w:name w:val="Odsek zoznamu1"/>
    <w:basedOn w:val="Normlny"/>
    <w:rsid w:val="009F15E3"/>
    <w:pPr>
      <w:widowControl w:val="0"/>
      <w:suppressAutoHyphens/>
      <w:ind w:left="7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2">
    <w:name w:val="Normálny2"/>
    <w:basedOn w:val="Normlny"/>
    <w:rsid w:val="000E05F8"/>
    <w:pPr>
      <w:widowControl w:val="0"/>
      <w:suppressAutoHyphens/>
      <w:overflowPunct w:val="0"/>
      <w:autoSpaceDE w:val="0"/>
      <w:autoSpaceDN w:val="0"/>
      <w:adjustRightInd w:val="0"/>
      <w:spacing w:line="200" w:lineRule="atLeast"/>
      <w:textAlignment w:val="baseline"/>
    </w:pPr>
    <w:rPr>
      <w:rFonts w:ascii="Thorndale" w:hAnsi="Thorndale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7D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7D9B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3969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052A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2A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52A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2A52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E65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D95576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Normlnywebov">
    <w:name w:val="Normal (Web)"/>
    <w:basedOn w:val="Normlny"/>
    <w:unhideWhenUsed/>
    <w:rsid w:val="00F37893"/>
    <w:pPr>
      <w:spacing w:before="100" w:beforeAutospacing="1" w:after="142" w:line="288" w:lineRule="auto"/>
    </w:pPr>
  </w:style>
  <w:style w:type="paragraph" w:customStyle="1" w:styleId="Odsekzoznamu1">
    <w:name w:val="Odsek zoznamu1"/>
    <w:basedOn w:val="Normlny"/>
    <w:rsid w:val="009F15E3"/>
    <w:pPr>
      <w:widowControl w:val="0"/>
      <w:suppressAutoHyphens/>
      <w:ind w:left="7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17D09-90D7-41AB-98A7-472063CA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16</Pages>
  <Words>6022</Words>
  <Characters>34330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Motyľová</dc:creator>
  <cp:lastModifiedBy>Mária Raššová</cp:lastModifiedBy>
  <cp:revision>7</cp:revision>
  <cp:lastPrinted>2019-02-11T14:24:00Z</cp:lastPrinted>
  <dcterms:created xsi:type="dcterms:W3CDTF">2019-02-12T07:05:00Z</dcterms:created>
  <dcterms:modified xsi:type="dcterms:W3CDTF">2019-02-20T09:15:00Z</dcterms:modified>
</cp:coreProperties>
</file>