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72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44B75" w:rsidRPr="004B3EAE" w:rsidRDefault="00444B75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24029E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7" DrawAspect="Content" ObjectID="_1643110375" r:id="rId7"/>
        </w:obje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2713A5" w:rsidRPr="002D6EBD" w:rsidRDefault="002713A5" w:rsidP="002713A5">
      <w:pPr>
        <w:autoSpaceDE w:val="0"/>
        <w:autoSpaceDN w:val="0"/>
        <w:rPr>
          <w:b/>
          <w:bCs/>
        </w:rPr>
      </w:pPr>
      <w:r w:rsidRPr="002D6EBD">
        <w:rPr>
          <w:b/>
        </w:rPr>
        <w:t>Ma</w:t>
      </w:r>
      <w:r w:rsidR="008A25A9">
        <w:rPr>
          <w:b/>
        </w:rPr>
        <w:t xml:space="preserve">teriál na rokovanie Mestského zastupiteľstva </w:t>
      </w:r>
      <w:r w:rsidRPr="002D6EBD">
        <w:rPr>
          <w:b/>
        </w:rPr>
        <w:t>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D356A" w:rsidRDefault="00426172" w:rsidP="00426172">
      <w:pPr>
        <w:autoSpaceDE w:val="0"/>
        <w:autoSpaceDN w:val="0"/>
        <w:jc w:val="both"/>
        <w:rPr>
          <w:bCs/>
          <w:color w:val="auto"/>
        </w:rPr>
      </w:pPr>
    </w:p>
    <w:p w:rsidR="00426172" w:rsidRPr="005D2FED" w:rsidRDefault="00426172" w:rsidP="00426172">
      <w:pPr>
        <w:autoSpaceDE w:val="0"/>
        <w:autoSpaceDN w:val="0"/>
        <w:jc w:val="both"/>
        <w:rPr>
          <w:color w:val="auto"/>
        </w:rPr>
      </w:pPr>
      <w:r w:rsidRPr="0046339D">
        <w:rPr>
          <w:b/>
          <w:color w:val="auto"/>
        </w:rPr>
        <w:t>Číslo:</w:t>
      </w:r>
      <w:r w:rsidRPr="004D356A">
        <w:rPr>
          <w:color w:val="auto"/>
        </w:rPr>
        <w:tab/>
      </w:r>
      <w:r w:rsidRPr="004D356A">
        <w:rPr>
          <w:color w:val="auto"/>
        </w:rPr>
        <w:tab/>
      </w:r>
      <w:r w:rsidRPr="004D356A">
        <w:rPr>
          <w:color w:val="auto"/>
        </w:rPr>
        <w:tab/>
      </w:r>
      <w:r w:rsidRPr="004D356A">
        <w:rPr>
          <w:color w:val="auto"/>
        </w:rPr>
        <w:tab/>
      </w:r>
      <w:r w:rsidRPr="004D356A">
        <w:rPr>
          <w:color w:val="auto"/>
        </w:rPr>
        <w:tab/>
      </w:r>
      <w:r w:rsidR="00772CF3">
        <w:rPr>
          <w:color w:val="auto"/>
        </w:rPr>
        <w:t>X</w:t>
      </w:r>
      <w:r w:rsidR="00D166E1">
        <w:rPr>
          <w:color w:val="auto"/>
        </w:rPr>
        <w:t>I/2020</w:t>
      </w:r>
    </w:p>
    <w:p w:rsidR="00426172" w:rsidRPr="005D2FED" w:rsidRDefault="00426172" w:rsidP="00426172">
      <w:pPr>
        <w:autoSpaceDE w:val="0"/>
        <w:autoSpaceDN w:val="0"/>
        <w:jc w:val="both"/>
        <w:rPr>
          <w:bCs/>
          <w:color w:val="auto"/>
        </w:rPr>
      </w:pPr>
      <w:r w:rsidRPr="005D2FED">
        <w:rPr>
          <w:b/>
          <w:color w:val="auto"/>
        </w:rPr>
        <w:t>Dňa:</w:t>
      </w:r>
      <w:r w:rsidRPr="005D2FED">
        <w:rPr>
          <w:color w:val="auto"/>
        </w:rPr>
        <w:tab/>
      </w:r>
      <w:r w:rsidRPr="005D2FED">
        <w:rPr>
          <w:color w:val="auto"/>
        </w:rPr>
        <w:tab/>
      </w:r>
      <w:r w:rsidRPr="005D2FED">
        <w:rPr>
          <w:color w:val="auto"/>
        </w:rPr>
        <w:tab/>
      </w:r>
      <w:r w:rsidRPr="005D2FED">
        <w:rPr>
          <w:color w:val="auto"/>
        </w:rPr>
        <w:tab/>
      </w:r>
      <w:r w:rsidRPr="005D2FED">
        <w:rPr>
          <w:color w:val="auto"/>
        </w:rPr>
        <w:tab/>
      </w:r>
      <w:r w:rsidR="00D166E1">
        <w:rPr>
          <w:color w:val="auto"/>
        </w:rPr>
        <w:t>20.02.2020</w:t>
      </w:r>
    </w:p>
    <w:p w:rsidR="00426172" w:rsidRPr="005D2FED" w:rsidRDefault="00426172" w:rsidP="00426172">
      <w:pPr>
        <w:autoSpaceDE w:val="0"/>
        <w:autoSpaceDN w:val="0"/>
        <w:rPr>
          <w:b/>
          <w:bCs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</w:rPr>
      </w:pPr>
    </w:p>
    <w:p w:rsidR="00426172" w:rsidRPr="005D2FED" w:rsidRDefault="00426172" w:rsidP="00426172">
      <w:pPr>
        <w:autoSpaceDE w:val="0"/>
        <w:autoSpaceDN w:val="0"/>
        <w:rPr>
          <w:b/>
          <w:color w:val="auto"/>
          <w:sz w:val="28"/>
          <w:szCs w:val="28"/>
        </w:rPr>
      </w:pPr>
      <w:r w:rsidRPr="005D2FED">
        <w:rPr>
          <w:b/>
          <w:color w:val="auto"/>
        </w:rPr>
        <w:t>K bodu programu:</w:t>
      </w:r>
      <w:r w:rsidRPr="005D2FED">
        <w:rPr>
          <w:color w:val="auto"/>
        </w:rPr>
        <w:tab/>
      </w:r>
      <w:r w:rsidRPr="005D2FED">
        <w:rPr>
          <w:color w:val="auto"/>
        </w:rPr>
        <w:tab/>
      </w:r>
      <w:r w:rsidRPr="005D2FED">
        <w:rPr>
          <w:color w:val="auto"/>
        </w:rPr>
        <w:tab/>
      </w:r>
      <w:r w:rsidR="007B3BE2" w:rsidRPr="005D2FED">
        <w:rPr>
          <w:b/>
          <w:color w:val="auto"/>
          <w:sz w:val="28"/>
          <w:szCs w:val="28"/>
        </w:rPr>
        <w:t>č</w:t>
      </w:r>
      <w:r w:rsidR="00706D2B" w:rsidRPr="005D2FED">
        <w:rPr>
          <w:b/>
          <w:color w:val="auto"/>
          <w:sz w:val="28"/>
          <w:szCs w:val="28"/>
        </w:rPr>
        <w:t>.</w:t>
      </w:r>
      <w:r w:rsidR="00E7530B" w:rsidRPr="005D2FED">
        <w:rPr>
          <w:b/>
          <w:color w:val="auto"/>
          <w:sz w:val="28"/>
          <w:szCs w:val="28"/>
        </w:rPr>
        <w:t xml:space="preserve"> </w:t>
      </w:r>
      <w:r w:rsidR="00D166E1">
        <w:rPr>
          <w:b/>
          <w:color w:val="auto"/>
          <w:sz w:val="28"/>
          <w:szCs w:val="28"/>
        </w:rPr>
        <w:t>21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A03110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="00A03110" w:rsidRPr="00A03110">
        <w:rPr>
          <w:b/>
        </w:rPr>
        <w:t>Pr</w:t>
      </w:r>
      <w:r w:rsidR="008A25A9">
        <w:rPr>
          <w:b/>
        </w:rPr>
        <w:t>ojekt „</w:t>
      </w:r>
      <w:r w:rsidR="00D166E1">
        <w:rPr>
          <w:b/>
        </w:rPr>
        <w:t>Splav bez hraníc</w:t>
      </w:r>
      <w:r w:rsidR="00A03110" w:rsidRPr="00A03110">
        <w:rPr>
          <w:b/>
        </w:rPr>
        <w:t xml:space="preserve">“ – návrh na schválenie </w:t>
      </w:r>
      <w:r w:rsidR="00D166E1">
        <w:rPr>
          <w:b/>
        </w:rPr>
        <w:t>spolufinancovania mikroprojektu</w:t>
      </w:r>
    </w:p>
    <w:p w:rsidR="00426172" w:rsidRPr="001E7DD9" w:rsidRDefault="00426172" w:rsidP="00426172">
      <w:pPr>
        <w:autoSpaceDE w:val="0"/>
        <w:autoSpaceDN w:val="0"/>
        <w:rPr>
          <w:b/>
          <w:bCs/>
          <w:color w:val="auto"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 w:rsidR="00A03110">
        <w:tab/>
      </w:r>
      <w:r w:rsidR="00A03110">
        <w:tab/>
      </w:r>
      <w:r w:rsidR="00A03110">
        <w:tab/>
        <w:t>Návrh uznesenia</w:t>
      </w:r>
    </w:p>
    <w:p w:rsidR="00426172" w:rsidRPr="00A03110" w:rsidRDefault="00A03110" w:rsidP="00426172">
      <w:pPr>
        <w:autoSpaceDE w:val="0"/>
        <w:autoSpaceDN w:val="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03110">
        <w:rPr>
          <w:bCs/>
        </w:rPr>
        <w:t>Dôvodová správa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A03110">
        <w:t>PhDr. Ľuboš Tomko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A03110">
        <w:t>primátor mesta</w:t>
      </w:r>
    </w:p>
    <w:p w:rsidR="00A03110" w:rsidRDefault="00A03110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</w:t>
      </w:r>
      <w:r w:rsidR="00A03110">
        <w:rPr>
          <w:b/>
        </w:rPr>
        <w:t>a</w:t>
      </w:r>
      <w:r w:rsidRPr="00BA499F">
        <w:rPr>
          <w:b/>
        </w:rPr>
        <w:t>:</w:t>
      </w:r>
      <w:r>
        <w:tab/>
      </w:r>
      <w:r>
        <w:tab/>
      </w:r>
      <w:r w:rsidR="00A03110">
        <w:t xml:space="preserve">Mgr. Emília </w:t>
      </w:r>
      <w:proofErr w:type="spellStart"/>
      <w:r w:rsidR="00A03110">
        <w:t>Mačugová</w:t>
      </w:r>
      <w:proofErr w:type="spellEnd"/>
    </w:p>
    <w:p w:rsidR="00772CF3" w:rsidRDefault="008A25A9" w:rsidP="00772CF3">
      <w:pPr>
        <w:autoSpaceDE w:val="0"/>
        <w:autoSpaceDN w:val="0"/>
      </w:pPr>
      <w:r>
        <w:tab/>
      </w:r>
      <w:r>
        <w:tab/>
      </w:r>
      <w:r>
        <w:tab/>
      </w:r>
      <w:r>
        <w:tab/>
      </w:r>
      <w:r>
        <w:tab/>
      </w:r>
      <w:r w:rsidR="007D360F">
        <w:t>Projektový</w:t>
      </w:r>
      <w:r w:rsidR="00772CF3">
        <w:t xml:space="preserve"> referent</w:t>
      </w:r>
    </w:p>
    <w:p w:rsidR="00096200" w:rsidRDefault="00096200" w:rsidP="00772CF3">
      <w:pPr>
        <w:autoSpaceDE w:val="0"/>
        <w:autoSpaceDN w:val="0"/>
        <w:rPr>
          <w:b/>
          <w:u w:val="single"/>
        </w:rPr>
      </w:pPr>
    </w:p>
    <w:p w:rsidR="00D166E1" w:rsidRDefault="00D166E1" w:rsidP="00096200">
      <w:pPr>
        <w:autoSpaceDE w:val="0"/>
        <w:autoSpaceDN w:val="0"/>
        <w:jc w:val="center"/>
        <w:rPr>
          <w:b/>
          <w:u w:val="single"/>
        </w:rPr>
      </w:pPr>
    </w:p>
    <w:p w:rsidR="00A03110" w:rsidRDefault="00A03110" w:rsidP="00096200">
      <w:pPr>
        <w:autoSpaceDE w:val="0"/>
        <w:autoSpaceDN w:val="0"/>
        <w:jc w:val="center"/>
        <w:rPr>
          <w:b/>
          <w:u w:val="single"/>
        </w:rPr>
      </w:pPr>
      <w:r>
        <w:rPr>
          <w:b/>
          <w:u w:val="single"/>
        </w:rPr>
        <w:lastRenderedPageBreak/>
        <w:t>N á v r h   u z n e s e n i a</w:t>
      </w:r>
    </w:p>
    <w:p w:rsidR="00A03110" w:rsidRDefault="00A03110" w:rsidP="00A03110">
      <w:pPr>
        <w:jc w:val="center"/>
        <w:rPr>
          <w:b/>
          <w:u w:val="single"/>
        </w:rPr>
      </w:pPr>
    </w:p>
    <w:p w:rsidR="00A03110" w:rsidRPr="009C67DC" w:rsidRDefault="008A25A9" w:rsidP="00A03110">
      <w:pPr>
        <w:ind w:firstLine="708"/>
        <w:jc w:val="both"/>
      </w:pPr>
      <w:r>
        <w:t>Mestské zastupiteľstvo</w:t>
      </w:r>
      <w:r w:rsidR="00A03110" w:rsidRPr="009C67DC">
        <w:t xml:space="preserve"> v Starej Ľubovni po prerokovaní predloženého materiálu</w:t>
      </w:r>
    </w:p>
    <w:p w:rsidR="00A03110" w:rsidRPr="009C1C27" w:rsidRDefault="00A03110" w:rsidP="00A03110">
      <w:pPr>
        <w:widowControl w:val="0"/>
        <w:suppressAutoHyphens/>
        <w:overflowPunct w:val="0"/>
        <w:autoSpaceDE w:val="0"/>
      </w:pPr>
    </w:p>
    <w:p w:rsidR="00A03110" w:rsidRPr="00E80FDE" w:rsidRDefault="00A03110" w:rsidP="00E80FDE">
      <w:pPr>
        <w:overflowPunct w:val="0"/>
        <w:autoSpaceDE w:val="0"/>
        <w:contextualSpacing/>
        <w:jc w:val="center"/>
        <w:rPr>
          <w:b/>
        </w:rPr>
      </w:pPr>
      <w:r w:rsidRPr="00E80FDE">
        <w:rPr>
          <w:b/>
        </w:rPr>
        <w:t>s c h v a ľ u j e</w:t>
      </w:r>
    </w:p>
    <w:p w:rsidR="00A03110" w:rsidRPr="009C67DC" w:rsidRDefault="00A03110" w:rsidP="00A03110">
      <w:pPr>
        <w:pStyle w:val="Odsekzoznamu"/>
        <w:overflowPunct w:val="0"/>
        <w:autoSpaceDE w:val="0"/>
        <w:rPr>
          <w:b/>
          <w:szCs w:val="24"/>
        </w:rPr>
      </w:pPr>
    </w:p>
    <w:p w:rsidR="00D166E1" w:rsidRDefault="00A03110" w:rsidP="00483E32">
      <w:pPr>
        <w:pStyle w:val="Odsekzoznamu"/>
        <w:numPr>
          <w:ilvl w:val="0"/>
          <w:numId w:val="44"/>
        </w:numPr>
        <w:autoSpaceDN/>
        <w:spacing w:line="276" w:lineRule="auto"/>
        <w:contextualSpacing/>
        <w:jc w:val="both"/>
        <w:textAlignment w:val="auto"/>
        <w:rPr>
          <w:szCs w:val="24"/>
        </w:rPr>
      </w:pPr>
      <w:r w:rsidRPr="009A394F">
        <w:rPr>
          <w:szCs w:val="24"/>
        </w:rPr>
        <w:t xml:space="preserve">zabezpečenie realizácie </w:t>
      </w:r>
      <w:r w:rsidR="00D166E1">
        <w:rPr>
          <w:szCs w:val="24"/>
        </w:rPr>
        <w:t>mikro</w:t>
      </w:r>
      <w:r w:rsidRPr="009A394F">
        <w:rPr>
          <w:szCs w:val="24"/>
        </w:rPr>
        <w:t xml:space="preserve">projektu </w:t>
      </w:r>
      <w:r w:rsidR="00B46058">
        <w:rPr>
          <w:szCs w:val="24"/>
        </w:rPr>
        <w:t>„</w:t>
      </w:r>
      <w:r w:rsidR="00D166E1" w:rsidRPr="00D166E1">
        <w:rPr>
          <w:b/>
          <w:szCs w:val="24"/>
        </w:rPr>
        <w:t>Splav bez hraníc</w:t>
      </w:r>
      <w:r w:rsidR="00B46058">
        <w:rPr>
          <w:b/>
          <w:szCs w:val="24"/>
        </w:rPr>
        <w:t>“</w:t>
      </w:r>
      <w:r w:rsidR="00D166E1">
        <w:rPr>
          <w:szCs w:val="24"/>
        </w:rPr>
        <w:t xml:space="preserve"> </w:t>
      </w:r>
      <w:r w:rsidRPr="009A394F">
        <w:rPr>
          <w:szCs w:val="24"/>
        </w:rPr>
        <w:t>v</w:t>
      </w:r>
      <w:r w:rsidR="00F87D9F" w:rsidRPr="009A394F">
        <w:rPr>
          <w:szCs w:val="24"/>
        </w:rPr>
        <w:t> </w:t>
      </w:r>
      <w:r w:rsidRPr="009A394F">
        <w:rPr>
          <w:szCs w:val="24"/>
        </w:rPr>
        <w:t>súlade</w:t>
      </w:r>
      <w:r w:rsidR="00F87D9F" w:rsidRPr="009A394F">
        <w:rPr>
          <w:szCs w:val="24"/>
        </w:rPr>
        <w:t xml:space="preserve"> s</w:t>
      </w:r>
      <w:r w:rsidR="00D166E1">
        <w:rPr>
          <w:szCs w:val="24"/>
        </w:rPr>
        <w:t> V</w:t>
      </w:r>
      <w:r w:rsidR="00F87D9F" w:rsidRPr="009A394F">
        <w:rPr>
          <w:szCs w:val="24"/>
        </w:rPr>
        <w:t>ýzvou</w:t>
      </w:r>
      <w:r w:rsidR="00D166E1">
        <w:rPr>
          <w:szCs w:val="24"/>
        </w:rPr>
        <w:t xml:space="preserve"> </w:t>
      </w:r>
      <w:r w:rsidR="00BE65B7">
        <w:rPr>
          <w:szCs w:val="24"/>
        </w:rPr>
        <w:t xml:space="preserve">na </w:t>
      </w:r>
      <w:r w:rsidR="00D166E1">
        <w:t xml:space="preserve">predkladanie žiadosti o poskytnutie finančného príspevku na realizáciu </w:t>
      </w:r>
      <w:proofErr w:type="spellStart"/>
      <w:r w:rsidR="00D166E1">
        <w:t>mikroprojektov</w:t>
      </w:r>
      <w:proofErr w:type="spellEnd"/>
      <w:r w:rsidR="00D166E1">
        <w:t xml:space="preserve"> </w:t>
      </w:r>
      <w:r w:rsidR="00C214BF">
        <w:t xml:space="preserve">z prostriedkov Európskeho fondu regionálneho rozvoja </w:t>
      </w:r>
      <w:r w:rsidR="00D166E1" w:rsidRPr="00493BC1">
        <w:t xml:space="preserve">Program </w:t>
      </w:r>
      <w:proofErr w:type="spellStart"/>
      <w:r w:rsidR="00D166E1" w:rsidRPr="00493BC1">
        <w:t>Interreg</w:t>
      </w:r>
      <w:proofErr w:type="spellEnd"/>
      <w:r w:rsidR="00D166E1" w:rsidRPr="00493BC1">
        <w:t xml:space="preserve"> V-A Poľsko - Slovensko 2014 - 2020</w:t>
      </w:r>
      <w:r w:rsidR="000B14D3">
        <w:t>, prioritná os 1 - Ochrana a rozvoj prírodného a kultúrneho dedičstva cezhraničného územia</w:t>
      </w:r>
      <w:r w:rsidR="00C214BF">
        <w:t>;</w:t>
      </w:r>
    </w:p>
    <w:p w:rsidR="00C214BF" w:rsidRDefault="00A03110" w:rsidP="00A702AD">
      <w:pPr>
        <w:pStyle w:val="Odsekzoznamu"/>
        <w:numPr>
          <w:ilvl w:val="0"/>
          <w:numId w:val="44"/>
        </w:numPr>
        <w:autoSpaceDN/>
        <w:spacing w:line="276" w:lineRule="auto"/>
        <w:contextualSpacing/>
        <w:jc w:val="both"/>
        <w:textAlignment w:val="auto"/>
        <w:rPr>
          <w:szCs w:val="24"/>
        </w:rPr>
      </w:pPr>
      <w:r w:rsidRPr="00C214BF">
        <w:rPr>
          <w:szCs w:val="24"/>
        </w:rPr>
        <w:t>zabezpečenie povinného spolufinancovania</w:t>
      </w:r>
      <w:r w:rsidR="00C214BF">
        <w:rPr>
          <w:szCs w:val="24"/>
        </w:rPr>
        <w:t xml:space="preserve"> </w:t>
      </w:r>
      <w:r w:rsidR="00D117CE" w:rsidRPr="00C214BF">
        <w:rPr>
          <w:szCs w:val="24"/>
        </w:rPr>
        <w:t>mikro</w:t>
      </w:r>
      <w:r w:rsidRPr="00C214BF">
        <w:rPr>
          <w:szCs w:val="24"/>
        </w:rPr>
        <w:t>projektu</w:t>
      </w:r>
      <w:r w:rsidR="00C214BF">
        <w:rPr>
          <w:szCs w:val="24"/>
        </w:rPr>
        <w:t xml:space="preserve"> Mestom Stará Ľubovňa ako žiadateľom - vedúcim partnerom mikroprojektu</w:t>
      </w:r>
      <w:r w:rsidR="003B5295">
        <w:rPr>
          <w:szCs w:val="24"/>
        </w:rPr>
        <w:t xml:space="preserve"> vo výške </w:t>
      </w:r>
      <w:r w:rsidR="00BE65B7">
        <w:rPr>
          <w:szCs w:val="24"/>
        </w:rPr>
        <w:t>14 375,18 €.</w:t>
      </w:r>
    </w:p>
    <w:p w:rsidR="00A03110" w:rsidRPr="00C214BF" w:rsidRDefault="00A03110" w:rsidP="00A702AD">
      <w:pPr>
        <w:pStyle w:val="Odsekzoznamu"/>
        <w:numPr>
          <w:ilvl w:val="0"/>
          <w:numId w:val="44"/>
        </w:numPr>
        <w:autoSpaceDN/>
        <w:spacing w:line="276" w:lineRule="auto"/>
        <w:contextualSpacing/>
        <w:jc w:val="both"/>
        <w:textAlignment w:val="auto"/>
        <w:rPr>
          <w:szCs w:val="24"/>
        </w:rPr>
      </w:pPr>
      <w:r w:rsidRPr="00C214BF">
        <w:rPr>
          <w:szCs w:val="24"/>
        </w:rPr>
        <w:t xml:space="preserve">zabezpečenie financovania neoprávnených výdavkov </w:t>
      </w:r>
      <w:r w:rsidR="00D117CE" w:rsidRPr="00C214BF">
        <w:rPr>
          <w:szCs w:val="24"/>
        </w:rPr>
        <w:t>mikro</w:t>
      </w:r>
      <w:r w:rsidRPr="00C214BF">
        <w:rPr>
          <w:szCs w:val="24"/>
        </w:rPr>
        <w:t xml:space="preserve">projektu predstavujúcich rozdiel medzi celkovými </w:t>
      </w:r>
      <w:r w:rsidR="00337E0F" w:rsidRPr="00C214BF">
        <w:rPr>
          <w:szCs w:val="24"/>
        </w:rPr>
        <w:t xml:space="preserve">oprávnenými </w:t>
      </w:r>
      <w:r w:rsidRPr="00C214BF">
        <w:rPr>
          <w:szCs w:val="24"/>
        </w:rPr>
        <w:t xml:space="preserve">výdavkami </w:t>
      </w:r>
      <w:r w:rsidR="003B5295">
        <w:rPr>
          <w:szCs w:val="24"/>
        </w:rPr>
        <w:t xml:space="preserve">vedúceho partnera </w:t>
      </w:r>
      <w:r w:rsidR="00D117CE" w:rsidRPr="00C214BF">
        <w:rPr>
          <w:szCs w:val="24"/>
        </w:rPr>
        <w:t>mikro</w:t>
      </w:r>
      <w:r w:rsidRPr="00C214BF">
        <w:rPr>
          <w:szCs w:val="24"/>
        </w:rPr>
        <w:t xml:space="preserve">projektu </w:t>
      </w:r>
      <w:r w:rsidR="00337E0F" w:rsidRPr="00C214BF">
        <w:rPr>
          <w:szCs w:val="24"/>
        </w:rPr>
        <w:t xml:space="preserve">a žiadaným </w:t>
      </w:r>
      <w:r w:rsidR="00D117CE" w:rsidRPr="00C214BF">
        <w:rPr>
          <w:szCs w:val="24"/>
        </w:rPr>
        <w:t xml:space="preserve">finančným príspevkom </w:t>
      </w:r>
      <w:r w:rsidRPr="00C214BF">
        <w:rPr>
          <w:szCs w:val="24"/>
        </w:rPr>
        <w:t>a</w:t>
      </w:r>
      <w:r w:rsidR="00337E0F" w:rsidRPr="00C214BF">
        <w:rPr>
          <w:szCs w:val="24"/>
        </w:rPr>
        <w:t> prípadnou celkovou výškou neoprávnených výdavkov identifikovaných na základe zníženia výšky celkových oprávnených výdavkov</w:t>
      </w:r>
      <w:r w:rsidR="00D117CE" w:rsidRPr="00C214BF">
        <w:rPr>
          <w:szCs w:val="24"/>
        </w:rPr>
        <w:t xml:space="preserve"> </w:t>
      </w:r>
      <w:r w:rsidR="003B5295">
        <w:rPr>
          <w:szCs w:val="24"/>
        </w:rPr>
        <w:t xml:space="preserve">vedúceho partnera </w:t>
      </w:r>
      <w:r w:rsidR="00D117CE" w:rsidRPr="00C214BF">
        <w:rPr>
          <w:szCs w:val="24"/>
        </w:rPr>
        <w:t>mikro</w:t>
      </w:r>
      <w:r w:rsidRPr="00C214BF">
        <w:rPr>
          <w:szCs w:val="24"/>
        </w:rPr>
        <w:t>projektu.</w:t>
      </w:r>
    </w:p>
    <w:p w:rsidR="00A03110" w:rsidRPr="00337E0F" w:rsidRDefault="00A03110" w:rsidP="00A03110">
      <w:pPr>
        <w:jc w:val="both"/>
      </w:pPr>
    </w:p>
    <w:p w:rsidR="00A03110" w:rsidRDefault="00A03110" w:rsidP="00A03110">
      <w:pPr>
        <w:autoSpaceDE w:val="0"/>
        <w:autoSpaceDN w:val="0"/>
        <w:jc w:val="center"/>
        <w:rPr>
          <w:b/>
          <w:bCs/>
          <w:u w:val="single"/>
        </w:rPr>
      </w:pPr>
    </w:p>
    <w:p w:rsidR="003B5295" w:rsidRPr="00337E0F" w:rsidRDefault="003B5295" w:rsidP="00A03110">
      <w:pPr>
        <w:autoSpaceDE w:val="0"/>
        <w:autoSpaceDN w:val="0"/>
        <w:jc w:val="center"/>
        <w:rPr>
          <w:b/>
          <w:bCs/>
          <w:u w:val="single"/>
        </w:rPr>
      </w:pPr>
    </w:p>
    <w:p w:rsidR="00A03110" w:rsidRPr="003B5295" w:rsidRDefault="00A03110" w:rsidP="00A03110">
      <w:pPr>
        <w:autoSpaceDE w:val="0"/>
        <w:autoSpaceDN w:val="0"/>
        <w:jc w:val="center"/>
        <w:rPr>
          <w:b/>
          <w:bCs/>
          <w:u w:val="single"/>
        </w:rPr>
      </w:pPr>
      <w:r w:rsidRPr="003B5295">
        <w:rPr>
          <w:b/>
          <w:bCs/>
          <w:u w:val="single"/>
        </w:rPr>
        <w:t>D ô v o d o v á   s p r á v a</w:t>
      </w:r>
    </w:p>
    <w:p w:rsidR="00A03110" w:rsidRPr="003B5295" w:rsidRDefault="00A03110" w:rsidP="00A03110"/>
    <w:p w:rsidR="005206A6" w:rsidRPr="003B5295" w:rsidRDefault="00A03110" w:rsidP="00A958F9">
      <w:pPr>
        <w:spacing w:line="276" w:lineRule="auto"/>
        <w:ind w:firstLine="708"/>
        <w:jc w:val="both"/>
      </w:pPr>
      <w:r w:rsidRPr="003B5295">
        <w:t>Jednou z povinných príloh k </w:t>
      </w:r>
      <w:r w:rsidR="00D166E1" w:rsidRPr="003B5295">
        <w:t>zmluve</w:t>
      </w:r>
      <w:r w:rsidRPr="003B5295">
        <w:t xml:space="preserve"> o poskytnutie finanč</w:t>
      </w:r>
      <w:r w:rsidR="00D166E1" w:rsidRPr="003B5295">
        <w:t>ného príspevku</w:t>
      </w:r>
      <w:r w:rsidRPr="003B5295">
        <w:t xml:space="preserve"> je aj </w:t>
      </w:r>
      <w:r w:rsidR="00337E0F" w:rsidRPr="003B5295">
        <w:t>uznesenie</w:t>
      </w:r>
      <w:r w:rsidRPr="003B5295">
        <w:t xml:space="preserve"> </w:t>
      </w:r>
      <w:r w:rsidR="00337E0F" w:rsidRPr="003B5295">
        <w:t xml:space="preserve">mestského </w:t>
      </w:r>
      <w:r w:rsidRPr="003B5295">
        <w:t>zastupiteľstva o </w:t>
      </w:r>
      <w:r w:rsidR="00337E0F" w:rsidRPr="003B5295">
        <w:t>zabezpečení</w:t>
      </w:r>
      <w:r w:rsidRPr="003B5295">
        <w:t xml:space="preserve"> spoluúčasti na financovaní </w:t>
      </w:r>
      <w:r w:rsidR="000B14D3" w:rsidRPr="003B5295">
        <w:t xml:space="preserve">schváleného </w:t>
      </w:r>
      <w:r w:rsidR="00D117CE" w:rsidRPr="003B5295">
        <w:t>mikro</w:t>
      </w:r>
      <w:r w:rsidR="000B14D3" w:rsidRPr="003B5295">
        <w:t xml:space="preserve">projektu </w:t>
      </w:r>
      <w:r w:rsidR="00B46058">
        <w:t>„</w:t>
      </w:r>
      <w:r w:rsidR="000B14D3" w:rsidRPr="003B5295">
        <w:rPr>
          <w:b/>
        </w:rPr>
        <w:t>Splav bez hraníc</w:t>
      </w:r>
      <w:r w:rsidR="00B46058">
        <w:rPr>
          <w:b/>
        </w:rPr>
        <w:t>“</w:t>
      </w:r>
      <w:r w:rsidR="000B14D3" w:rsidRPr="003B5295">
        <w:t xml:space="preserve">. </w:t>
      </w:r>
      <w:r w:rsidRPr="003B5295">
        <w:t xml:space="preserve">Spoluúčasť na financovaní </w:t>
      </w:r>
      <w:r w:rsidR="00D117CE" w:rsidRPr="003B5295">
        <w:t>mikro</w:t>
      </w:r>
      <w:r w:rsidRPr="003B5295">
        <w:t>projektu znamená, že žiadateľ</w:t>
      </w:r>
      <w:r w:rsidR="000B14D3" w:rsidRPr="003B5295">
        <w:t xml:space="preserve"> - vedúci partner</w:t>
      </w:r>
      <w:r w:rsidRPr="003B5295">
        <w:t xml:space="preserve"> má zabezpečené finančné prostriedky na spolufinancovanie </w:t>
      </w:r>
      <w:r w:rsidR="000B14D3" w:rsidRPr="003B5295">
        <w:t xml:space="preserve">časti </w:t>
      </w:r>
      <w:r w:rsidRPr="003B5295">
        <w:t xml:space="preserve">výdavkov </w:t>
      </w:r>
      <w:r w:rsidR="00D117CE" w:rsidRPr="003B5295">
        <w:t>mikro</w:t>
      </w:r>
      <w:r w:rsidRPr="003B5295">
        <w:t>projektu</w:t>
      </w:r>
      <w:r w:rsidR="000B6528" w:rsidRPr="003B5295">
        <w:t xml:space="preserve"> vzťahujúcich sa na ním navrhované aktivity</w:t>
      </w:r>
      <w:r w:rsidRPr="003B5295">
        <w:t xml:space="preserve">, pričom výška spolufinancovania </w:t>
      </w:r>
      <w:r w:rsidR="00D117CE" w:rsidRPr="003B5295">
        <w:t>mikro</w:t>
      </w:r>
      <w:r w:rsidRPr="003B5295">
        <w:t xml:space="preserve">projektu zo strany žiadateľa </w:t>
      </w:r>
      <w:r w:rsidR="000B14D3" w:rsidRPr="003B5295">
        <w:t xml:space="preserve">- vedúceho partnera </w:t>
      </w:r>
      <w:r w:rsidRPr="003B5295">
        <w:t xml:space="preserve">sa stanovuje ako rozdiel medzi celkovými oprávnenými výdavkami </w:t>
      </w:r>
      <w:r w:rsidR="00D117CE" w:rsidRPr="003B5295">
        <w:t>mikro</w:t>
      </w:r>
      <w:r w:rsidRPr="003B5295">
        <w:t>projektu a</w:t>
      </w:r>
      <w:r w:rsidR="00506E57" w:rsidRPr="003B5295">
        <w:t> </w:t>
      </w:r>
      <w:r w:rsidRPr="003B5295">
        <w:t>žiadan</w:t>
      </w:r>
      <w:r w:rsidR="00506E57" w:rsidRPr="003B5295">
        <w:t xml:space="preserve">ým </w:t>
      </w:r>
      <w:r w:rsidR="00C214BF" w:rsidRPr="003B5295">
        <w:t xml:space="preserve">resp. schváleným </w:t>
      </w:r>
      <w:r w:rsidR="00506E57" w:rsidRPr="003B5295">
        <w:t>príspevkom</w:t>
      </w:r>
      <w:r w:rsidR="00D117CE" w:rsidRPr="003B5295">
        <w:t>.</w:t>
      </w:r>
    </w:p>
    <w:p w:rsidR="008A25A9" w:rsidRPr="003B5295" w:rsidRDefault="008A25A9" w:rsidP="000B6528">
      <w:pPr>
        <w:spacing w:after="160" w:line="276" w:lineRule="auto"/>
        <w:contextualSpacing/>
        <w:jc w:val="both"/>
      </w:pPr>
    </w:p>
    <w:p w:rsidR="003B5295" w:rsidRDefault="00010E5F" w:rsidP="00271E88">
      <w:pPr>
        <w:spacing w:after="160" w:line="276" w:lineRule="auto"/>
        <w:ind w:firstLine="708"/>
        <w:contextualSpacing/>
        <w:jc w:val="both"/>
      </w:pPr>
      <w:r w:rsidRPr="003B5295">
        <w:t>Žiadosť o poskytnutie fi</w:t>
      </w:r>
      <w:r w:rsidR="00447D46" w:rsidRPr="003B5295">
        <w:t xml:space="preserve">nančného príspevku </w:t>
      </w:r>
      <w:r w:rsidR="003B5295">
        <w:t xml:space="preserve">bola podaná dňa 31.05.2019, kde oprávnené výdavky predstavovali: </w:t>
      </w:r>
      <w:r w:rsidR="00C214BF">
        <w:t xml:space="preserve"> </w:t>
      </w:r>
    </w:p>
    <w:p w:rsidR="003B5295" w:rsidRDefault="003B5295" w:rsidP="00271E88">
      <w:pPr>
        <w:spacing w:after="160" w:line="276" w:lineRule="auto"/>
        <w:ind w:firstLine="708"/>
        <w:contextualSpacing/>
        <w:jc w:val="both"/>
      </w:pPr>
    </w:p>
    <w:tbl>
      <w:tblPr>
        <w:tblStyle w:val="Mriekatabuky"/>
        <w:tblW w:w="9490" w:type="dxa"/>
        <w:jc w:val="center"/>
        <w:tblLook w:val="04A0" w:firstRow="1" w:lastRow="0" w:firstColumn="1" w:lastColumn="0" w:noHBand="0" w:noVBand="1"/>
      </w:tblPr>
      <w:tblGrid>
        <w:gridCol w:w="2405"/>
        <w:gridCol w:w="1405"/>
        <w:gridCol w:w="1430"/>
        <w:gridCol w:w="1559"/>
        <w:gridCol w:w="1560"/>
        <w:gridCol w:w="1131"/>
      </w:tblGrid>
      <w:tr w:rsidR="003B5295" w:rsidTr="003B5295">
        <w:trPr>
          <w:trHeight w:val="336"/>
          <w:jc w:val="center"/>
        </w:trPr>
        <w:tc>
          <w:tcPr>
            <w:tcW w:w="2405" w:type="dxa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Partneri</w:t>
            </w:r>
          </w:p>
        </w:tc>
        <w:tc>
          <w:tcPr>
            <w:tcW w:w="1405" w:type="dxa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EFRR</w:t>
            </w:r>
          </w:p>
        </w:tc>
        <w:tc>
          <w:tcPr>
            <w:tcW w:w="1430" w:type="dxa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Prostriedky zo štátneho rozpočtu</w:t>
            </w:r>
          </w:p>
        </w:tc>
        <w:tc>
          <w:tcPr>
            <w:tcW w:w="1559" w:type="dxa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Vlastný vklad</w:t>
            </w:r>
          </w:p>
        </w:tc>
        <w:tc>
          <w:tcPr>
            <w:tcW w:w="1560" w:type="dxa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Spolu</w:t>
            </w:r>
          </w:p>
        </w:tc>
        <w:tc>
          <w:tcPr>
            <w:tcW w:w="1131" w:type="dxa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Podiel partnera</w:t>
            </w:r>
          </w:p>
        </w:tc>
      </w:tr>
      <w:tr w:rsidR="003B5295" w:rsidTr="003B5295">
        <w:trPr>
          <w:trHeight w:val="336"/>
          <w:jc w:val="center"/>
        </w:trPr>
        <w:tc>
          <w:tcPr>
            <w:tcW w:w="2405" w:type="dxa"/>
            <w:vMerge w:val="restart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rPr>
                <w:i/>
              </w:rPr>
            </w:pPr>
            <w:r w:rsidRPr="00271E88">
              <w:rPr>
                <w:i/>
              </w:rPr>
              <w:t>Mesto Stará Ľubovňa</w:t>
            </w:r>
          </w:p>
        </w:tc>
        <w:tc>
          <w:tcPr>
            <w:tcW w:w="1405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57 103,59 €</w:t>
            </w:r>
          </w:p>
        </w:tc>
        <w:tc>
          <w:tcPr>
            <w:tcW w:w="1430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7 942,08 €</w:t>
            </w:r>
          </w:p>
        </w:tc>
        <w:tc>
          <w:tcPr>
            <w:tcW w:w="1559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14 375,18 €</w:t>
            </w:r>
          </w:p>
        </w:tc>
        <w:tc>
          <w:tcPr>
            <w:tcW w:w="1560" w:type="dxa"/>
            <w:vMerge w:val="restart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79 420,85 €</w:t>
            </w:r>
          </w:p>
        </w:tc>
        <w:tc>
          <w:tcPr>
            <w:tcW w:w="1131" w:type="dxa"/>
            <w:vMerge w:val="restart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60,47 %</w:t>
            </w:r>
          </w:p>
        </w:tc>
      </w:tr>
      <w:tr w:rsidR="003B5295" w:rsidTr="003B5295">
        <w:trPr>
          <w:trHeight w:val="336"/>
          <w:jc w:val="center"/>
        </w:trPr>
        <w:tc>
          <w:tcPr>
            <w:tcW w:w="2405" w:type="dxa"/>
            <w:vMerge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rPr>
                <w:i/>
              </w:rPr>
            </w:pPr>
          </w:p>
        </w:tc>
        <w:tc>
          <w:tcPr>
            <w:tcW w:w="1405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71,90 %</w:t>
            </w:r>
          </w:p>
        </w:tc>
        <w:tc>
          <w:tcPr>
            <w:tcW w:w="1430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10 %</w:t>
            </w:r>
          </w:p>
        </w:tc>
        <w:tc>
          <w:tcPr>
            <w:tcW w:w="1559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18,1 %</w:t>
            </w:r>
          </w:p>
        </w:tc>
        <w:tc>
          <w:tcPr>
            <w:tcW w:w="1560" w:type="dxa"/>
            <w:vMerge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</w:p>
        </w:tc>
        <w:tc>
          <w:tcPr>
            <w:tcW w:w="1131" w:type="dxa"/>
            <w:vMerge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</w:p>
        </w:tc>
      </w:tr>
      <w:tr w:rsidR="003B5295" w:rsidTr="003B5295">
        <w:trPr>
          <w:trHeight w:val="336"/>
          <w:jc w:val="center"/>
        </w:trPr>
        <w:tc>
          <w:tcPr>
            <w:tcW w:w="2405" w:type="dxa"/>
            <w:vMerge w:val="restart"/>
            <w:vAlign w:val="center"/>
          </w:tcPr>
          <w:p w:rsidR="003B5295" w:rsidRPr="00271E88" w:rsidRDefault="003B5295" w:rsidP="003B5295">
            <w:pPr>
              <w:spacing w:after="160" w:line="276" w:lineRule="auto"/>
              <w:contextualSpacing/>
              <w:rPr>
                <w:i/>
              </w:rPr>
            </w:pPr>
            <w:proofErr w:type="spellStart"/>
            <w:r w:rsidRPr="00271E88">
              <w:rPr>
                <w:i/>
              </w:rPr>
              <w:t>Powiat</w:t>
            </w:r>
            <w:proofErr w:type="spellEnd"/>
            <w:r w:rsidRPr="00271E88">
              <w:rPr>
                <w:i/>
              </w:rPr>
              <w:t xml:space="preserve"> </w:t>
            </w:r>
            <w:proofErr w:type="spellStart"/>
            <w:r w:rsidRPr="00271E88">
              <w:rPr>
                <w:i/>
              </w:rPr>
              <w:t>Nowosadecki</w:t>
            </w:r>
            <w:proofErr w:type="spellEnd"/>
          </w:p>
        </w:tc>
        <w:tc>
          <w:tcPr>
            <w:tcW w:w="1405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37 335,83 €</w:t>
            </w:r>
          </w:p>
        </w:tc>
        <w:tc>
          <w:tcPr>
            <w:tcW w:w="1430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2 596,37 €</w:t>
            </w:r>
          </w:p>
        </w:tc>
        <w:tc>
          <w:tcPr>
            <w:tcW w:w="1559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11 995,25 €</w:t>
            </w:r>
          </w:p>
        </w:tc>
        <w:tc>
          <w:tcPr>
            <w:tcW w:w="1560" w:type="dxa"/>
            <w:vMerge w:val="restart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51927,45 €</w:t>
            </w:r>
          </w:p>
        </w:tc>
        <w:tc>
          <w:tcPr>
            <w:tcW w:w="1131" w:type="dxa"/>
            <w:vMerge w:val="restart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39,53 %</w:t>
            </w:r>
          </w:p>
        </w:tc>
      </w:tr>
      <w:tr w:rsidR="003B5295" w:rsidTr="003B5295">
        <w:trPr>
          <w:trHeight w:val="336"/>
          <w:jc w:val="center"/>
        </w:trPr>
        <w:tc>
          <w:tcPr>
            <w:tcW w:w="2405" w:type="dxa"/>
            <w:vMerge/>
          </w:tcPr>
          <w:p w:rsidR="003B5295" w:rsidRDefault="003B5295" w:rsidP="00716D44">
            <w:pPr>
              <w:spacing w:after="160" w:line="276" w:lineRule="auto"/>
              <w:contextualSpacing/>
              <w:jc w:val="both"/>
            </w:pPr>
          </w:p>
        </w:tc>
        <w:tc>
          <w:tcPr>
            <w:tcW w:w="1405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71,90 %</w:t>
            </w:r>
          </w:p>
        </w:tc>
        <w:tc>
          <w:tcPr>
            <w:tcW w:w="1430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5 %</w:t>
            </w:r>
          </w:p>
        </w:tc>
        <w:tc>
          <w:tcPr>
            <w:tcW w:w="1559" w:type="dxa"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  <w:r>
              <w:t>23,1 %</w:t>
            </w:r>
          </w:p>
        </w:tc>
        <w:tc>
          <w:tcPr>
            <w:tcW w:w="1560" w:type="dxa"/>
            <w:vMerge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</w:p>
        </w:tc>
        <w:tc>
          <w:tcPr>
            <w:tcW w:w="1131" w:type="dxa"/>
            <w:vMerge/>
          </w:tcPr>
          <w:p w:rsidR="003B5295" w:rsidRDefault="003B5295" w:rsidP="003B5295">
            <w:pPr>
              <w:spacing w:after="160" w:line="276" w:lineRule="auto"/>
              <w:contextualSpacing/>
              <w:jc w:val="center"/>
            </w:pPr>
          </w:p>
        </w:tc>
      </w:tr>
      <w:tr w:rsidR="003B5295" w:rsidTr="003B5295">
        <w:trPr>
          <w:trHeight w:val="336"/>
          <w:jc w:val="center"/>
        </w:trPr>
        <w:tc>
          <w:tcPr>
            <w:tcW w:w="2405" w:type="dxa"/>
          </w:tcPr>
          <w:p w:rsidR="003B5295" w:rsidRPr="00271E88" w:rsidRDefault="003B5295" w:rsidP="00716D44">
            <w:pPr>
              <w:spacing w:after="160" w:line="276" w:lineRule="auto"/>
              <w:contextualSpacing/>
              <w:jc w:val="both"/>
              <w:rPr>
                <w:b/>
              </w:rPr>
            </w:pPr>
            <w:r w:rsidRPr="00271E88">
              <w:rPr>
                <w:b/>
              </w:rPr>
              <w:t xml:space="preserve">Spolu </w:t>
            </w:r>
          </w:p>
        </w:tc>
        <w:tc>
          <w:tcPr>
            <w:tcW w:w="1405" w:type="dxa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94 439,42 €</w:t>
            </w:r>
          </w:p>
        </w:tc>
        <w:tc>
          <w:tcPr>
            <w:tcW w:w="1430" w:type="dxa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10 538,45 €</w:t>
            </w:r>
          </w:p>
        </w:tc>
        <w:tc>
          <w:tcPr>
            <w:tcW w:w="1559" w:type="dxa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26 370,43 €</w:t>
            </w:r>
          </w:p>
        </w:tc>
        <w:tc>
          <w:tcPr>
            <w:tcW w:w="1560" w:type="dxa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131 348,30 €</w:t>
            </w:r>
          </w:p>
        </w:tc>
        <w:tc>
          <w:tcPr>
            <w:tcW w:w="1131" w:type="dxa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100 %</w:t>
            </w:r>
          </w:p>
        </w:tc>
      </w:tr>
      <w:tr w:rsidR="003B5295" w:rsidTr="003B5295">
        <w:trPr>
          <w:trHeight w:val="336"/>
          <w:jc w:val="center"/>
        </w:trPr>
        <w:tc>
          <w:tcPr>
            <w:tcW w:w="6799" w:type="dxa"/>
            <w:gridSpan w:val="4"/>
          </w:tcPr>
          <w:p w:rsidR="003B5295" w:rsidRPr="00271E88" w:rsidRDefault="003B5295" w:rsidP="003B5295">
            <w:pPr>
              <w:spacing w:after="160" w:line="276" w:lineRule="auto"/>
              <w:contextualSpacing/>
              <w:rPr>
                <w:b/>
              </w:rPr>
            </w:pPr>
            <w:r>
              <w:rPr>
                <w:b/>
              </w:rPr>
              <w:t>Celková hodnota mikroprojektu</w:t>
            </w:r>
          </w:p>
        </w:tc>
        <w:tc>
          <w:tcPr>
            <w:tcW w:w="1560" w:type="dxa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 w:rsidRPr="00271E88">
              <w:rPr>
                <w:b/>
              </w:rPr>
              <w:t>131 348,30 €</w:t>
            </w:r>
          </w:p>
        </w:tc>
        <w:tc>
          <w:tcPr>
            <w:tcW w:w="1131" w:type="dxa"/>
          </w:tcPr>
          <w:p w:rsidR="003B5295" w:rsidRPr="00271E88" w:rsidRDefault="003B5295" w:rsidP="003B5295">
            <w:pPr>
              <w:spacing w:after="160"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100 %</w:t>
            </w:r>
          </w:p>
        </w:tc>
      </w:tr>
    </w:tbl>
    <w:p w:rsidR="003B5295" w:rsidRDefault="003B5295" w:rsidP="00271E88">
      <w:pPr>
        <w:spacing w:after="160" w:line="276" w:lineRule="auto"/>
        <w:ind w:firstLine="708"/>
        <w:contextualSpacing/>
        <w:jc w:val="both"/>
      </w:pPr>
    </w:p>
    <w:p w:rsidR="003B5295" w:rsidRDefault="003B5295" w:rsidP="00271E88">
      <w:pPr>
        <w:spacing w:after="160" w:line="276" w:lineRule="auto"/>
        <w:ind w:firstLine="708"/>
        <w:contextualSpacing/>
        <w:jc w:val="both"/>
      </w:pPr>
    </w:p>
    <w:p w:rsidR="003B5295" w:rsidRDefault="003B5295" w:rsidP="00271E88">
      <w:pPr>
        <w:spacing w:after="160" w:line="276" w:lineRule="auto"/>
        <w:ind w:firstLine="708"/>
        <w:contextualSpacing/>
        <w:jc w:val="both"/>
      </w:pPr>
    </w:p>
    <w:p w:rsidR="003B5295" w:rsidRDefault="0024029E" w:rsidP="00271E88">
      <w:pPr>
        <w:spacing w:after="160" w:line="276" w:lineRule="auto"/>
        <w:ind w:firstLine="708"/>
        <w:contextualSpacing/>
        <w:jc w:val="both"/>
      </w:pPr>
      <w:r>
        <w:lastRenderedPageBreak/>
        <w:t>Dňa 16</w:t>
      </w:r>
      <w:bookmarkStart w:id="0" w:name="_GoBack"/>
      <w:bookmarkEnd w:id="0"/>
      <w:r w:rsidR="00B46058">
        <w:t xml:space="preserve">.01.2020 bolo Mestu Stará Ľubovňa doručené </w:t>
      </w:r>
      <w:r w:rsidR="00C214BF">
        <w:t xml:space="preserve">Rozhodnutie o schválení </w:t>
      </w:r>
      <w:r w:rsidR="00271E88">
        <w:t xml:space="preserve">financovania predloženého mikroprojektu </w:t>
      </w:r>
      <w:r w:rsidR="00B46058">
        <w:t>„</w:t>
      </w:r>
      <w:r w:rsidR="00271E88" w:rsidRPr="00B46058">
        <w:rPr>
          <w:b/>
        </w:rPr>
        <w:t>Splav bez hraníc</w:t>
      </w:r>
      <w:r w:rsidR="00B46058">
        <w:rPr>
          <w:b/>
        </w:rPr>
        <w:t>“</w:t>
      </w:r>
      <w:r w:rsidR="003B5295">
        <w:t xml:space="preserve"> </w:t>
      </w:r>
      <w:r w:rsidR="00271E88">
        <w:t>z prostriedkov Európskeho fondu regionálneho rozvoja</w:t>
      </w:r>
      <w:r w:rsidR="003B5295">
        <w:t>, a to maximálne vo výške:</w:t>
      </w:r>
    </w:p>
    <w:p w:rsidR="003B5295" w:rsidRDefault="003B5295" w:rsidP="003B5295">
      <w:pPr>
        <w:pStyle w:val="Odsekzoznamu"/>
        <w:numPr>
          <w:ilvl w:val="0"/>
          <w:numId w:val="47"/>
        </w:numPr>
        <w:spacing w:after="160" w:line="276" w:lineRule="auto"/>
        <w:contextualSpacing/>
        <w:jc w:val="both"/>
      </w:pPr>
      <w:r>
        <w:t xml:space="preserve">hodnota financovania z EFRR pre vedúceho partnera </w:t>
      </w:r>
      <w:r w:rsidRPr="003B5295">
        <w:rPr>
          <w:b/>
        </w:rPr>
        <w:t>57 103,59 €</w:t>
      </w:r>
      <w:r w:rsidRPr="003B5295">
        <w:t>,</w:t>
      </w:r>
    </w:p>
    <w:p w:rsidR="003B5295" w:rsidRDefault="003B5295" w:rsidP="003B5295">
      <w:pPr>
        <w:pStyle w:val="Odsekzoznamu"/>
        <w:numPr>
          <w:ilvl w:val="0"/>
          <w:numId w:val="47"/>
        </w:numPr>
        <w:spacing w:after="160" w:line="276" w:lineRule="auto"/>
        <w:contextualSpacing/>
        <w:jc w:val="both"/>
      </w:pPr>
      <w:r>
        <w:t xml:space="preserve">hodnota financovania z EFRR pre PL partnera </w:t>
      </w:r>
      <w:r w:rsidRPr="003B5295">
        <w:rPr>
          <w:b/>
        </w:rPr>
        <w:t>37 335,83 €</w:t>
      </w:r>
      <w:r>
        <w:t>,</w:t>
      </w:r>
    </w:p>
    <w:p w:rsidR="003B5295" w:rsidRDefault="003B5295" w:rsidP="003B5295">
      <w:pPr>
        <w:pStyle w:val="Odsekzoznamu"/>
        <w:numPr>
          <w:ilvl w:val="0"/>
          <w:numId w:val="47"/>
        </w:numPr>
        <w:spacing w:after="160" w:line="276" w:lineRule="auto"/>
        <w:contextualSpacing/>
        <w:jc w:val="both"/>
      </w:pPr>
      <w:r>
        <w:t xml:space="preserve">celková hodnota financovania z EFRR </w:t>
      </w:r>
      <w:r w:rsidRPr="003B5295">
        <w:rPr>
          <w:b/>
        </w:rPr>
        <w:t>94 439,42 €</w:t>
      </w:r>
      <w:r>
        <w:t>.</w:t>
      </w:r>
    </w:p>
    <w:p w:rsidR="003B5295" w:rsidRDefault="003B5295" w:rsidP="00271E88">
      <w:pPr>
        <w:spacing w:after="160" w:line="276" w:lineRule="auto"/>
        <w:ind w:firstLine="708"/>
        <w:contextualSpacing/>
        <w:jc w:val="both"/>
      </w:pPr>
    </w:p>
    <w:p w:rsidR="00271E88" w:rsidRDefault="00271E88" w:rsidP="00271E88">
      <w:pPr>
        <w:spacing w:after="160" w:line="276" w:lineRule="auto"/>
        <w:ind w:firstLine="708"/>
        <w:contextualSpacing/>
        <w:jc w:val="both"/>
      </w:pPr>
    </w:p>
    <w:p w:rsidR="00271E88" w:rsidRDefault="00271E88" w:rsidP="00271E88">
      <w:pPr>
        <w:spacing w:after="160" w:line="276" w:lineRule="auto"/>
        <w:ind w:firstLine="708"/>
        <w:contextualSpacing/>
        <w:jc w:val="both"/>
      </w:pPr>
    </w:p>
    <w:p w:rsidR="00271E88" w:rsidRDefault="00271E88" w:rsidP="00271E88">
      <w:pPr>
        <w:spacing w:after="160" w:line="276" w:lineRule="auto"/>
        <w:ind w:firstLine="708"/>
        <w:contextualSpacing/>
        <w:jc w:val="both"/>
      </w:pPr>
    </w:p>
    <w:sectPr w:rsidR="00271E88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764C25"/>
    <w:multiLevelType w:val="hybridMultilevel"/>
    <w:tmpl w:val="8A042320"/>
    <w:lvl w:ilvl="0" w:tplc="94445D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33692"/>
    <w:multiLevelType w:val="hybridMultilevel"/>
    <w:tmpl w:val="A15847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B7E1B"/>
    <w:multiLevelType w:val="hybridMultilevel"/>
    <w:tmpl w:val="F6B66B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245A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36F34"/>
    <w:multiLevelType w:val="hybridMultilevel"/>
    <w:tmpl w:val="A6E62E30"/>
    <w:lvl w:ilvl="0" w:tplc="6128CB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17578"/>
    <w:multiLevelType w:val="hybridMultilevel"/>
    <w:tmpl w:val="D86C435A"/>
    <w:lvl w:ilvl="0" w:tplc="A57C0E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74703"/>
    <w:multiLevelType w:val="hybridMultilevel"/>
    <w:tmpl w:val="A2B44A90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B7EDF"/>
    <w:multiLevelType w:val="hybridMultilevel"/>
    <w:tmpl w:val="8A94E86E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C2A0D"/>
    <w:multiLevelType w:val="hybridMultilevel"/>
    <w:tmpl w:val="EA60ED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A7701"/>
    <w:multiLevelType w:val="hybridMultilevel"/>
    <w:tmpl w:val="7788FA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EC6A40"/>
    <w:multiLevelType w:val="hybridMultilevel"/>
    <w:tmpl w:val="14B23422"/>
    <w:lvl w:ilvl="0" w:tplc="78ACF302">
      <w:start w:val="1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9067C"/>
    <w:multiLevelType w:val="hybridMultilevel"/>
    <w:tmpl w:val="23F6D622"/>
    <w:lvl w:ilvl="0" w:tplc="5B32DE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30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34"/>
  </w:num>
  <w:num w:numId="5">
    <w:abstractNumId w:val="38"/>
  </w:num>
  <w:num w:numId="6">
    <w:abstractNumId w:val="13"/>
  </w:num>
  <w:num w:numId="7">
    <w:abstractNumId w:val="30"/>
  </w:num>
  <w:num w:numId="8">
    <w:abstractNumId w:val="32"/>
  </w:num>
  <w:num w:numId="9">
    <w:abstractNumId w:val="25"/>
  </w:num>
  <w:num w:numId="10">
    <w:abstractNumId w:val="22"/>
  </w:num>
  <w:num w:numId="11">
    <w:abstractNumId w:val="36"/>
  </w:num>
  <w:num w:numId="12">
    <w:abstractNumId w:val="36"/>
  </w:num>
  <w:num w:numId="13">
    <w:abstractNumId w:val="18"/>
  </w:num>
  <w:num w:numId="14">
    <w:abstractNumId w:val="41"/>
  </w:num>
  <w:num w:numId="15">
    <w:abstractNumId w:val="6"/>
  </w:num>
  <w:num w:numId="16">
    <w:abstractNumId w:val="28"/>
  </w:num>
  <w:num w:numId="17">
    <w:abstractNumId w:val="11"/>
  </w:num>
  <w:num w:numId="18">
    <w:abstractNumId w:val="18"/>
  </w:num>
  <w:num w:numId="19">
    <w:abstractNumId w:val="21"/>
  </w:num>
  <w:num w:numId="20">
    <w:abstractNumId w:val="14"/>
  </w:num>
  <w:num w:numId="21">
    <w:abstractNumId w:val="26"/>
  </w:num>
  <w:num w:numId="22">
    <w:abstractNumId w:val="3"/>
  </w:num>
  <w:num w:numId="23">
    <w:abstractNumId w:val="15"/>
  </w:num>
  <w:num w:numId="24">
    <w:abstractNumId w:val="33"/>
  </w:num>
  <w:num w:numId="25">
    <w:abstractNumId w:val="24"/>
  </w:num>
  <w:num w:numId="26">
    <w:abstractNumId w:val="37"/>
  </w:num>
  <w:num w:numId="27">
    <w:abstractNumId w:val="9"/>
  </w:num>
  <w:num w:numId="28">
    <w:abstractNumId w:val="35"/>
  </w:num>
  <w:num w:numId="29">
    <w:abstractNumId w:val="16"/>
  </w:num>
  <w:num w:numId="30">
    <w:abstractNumId w:val="31"/>
  </w:num>
  <w:num w:numId="31">
    <w:abstractNumId w:val="29"/>
  </w:num>
  <w:num w:numId="32">
    <w:abstractNumId w:val="20"/>
  </w:num>
  <w:num w:numId="33">
    <w:abstractNumId w:val="4"/>
  </w:num>
  <w:num w:numId="34">
    <w:abstractNumId w:val="23"/>
  </w:num>
  <w:num w:numId="35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"/>
  </w:num>
  <w:num w:numId="38">
    <w:abstractNumId w:val="17"/>
  </w:num>
  <w:num w:numId="39">
    <w:abstractNumId w:val="27"/>
  </w:num>
  <w:num w:numId="40">
    <w:abstractNumId w:val="12"/>
  </w:num>
  <w:num w:numId="41">
    <w:abstractNumId w:val="10"/>
  </w:num>
  <w:num w:numId="42">
    <w:abstractNumId w:val="42"/>
  </w:num>
  <w:num w:numId="43">
    <w:abstractNumId w:val="7"/>
  </w:num>
  <w:num w:numId="44">
    <w:abstractNumId w:val="8"/>
  </w:num>
  <w:num w:numId="45">
    <w:abstractNumId w:val="2"/>
  </w:num>
  <w:num w:numId="46">
    <w:abstractNumId w:val="19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F0"/>
    <w:rsid w:val="0000206E"/>
    <w:rsid w:val="00006D01"/>
    <w:rsid w:val="00010E5F"/>
    <w:rsid w:val="00010F83"/>
    <w:rsid w:val="00013868"/>
    <w:rsid w:val="00015C4A"/>
    <w:rsid w:val="000208F4"/>
    <w:rsid w:val="000216A1"/>
    <w:rsid w:val="00021F3A"/>
    <w:rsid w:val="00025F9B"/>
    <w:rsid w:val="000316F9"/>
    <w:rsid w:val="000404C4"/>
    <w:rsid w:val="00041C30"/>
    <w:rsid w:val="000442BA"/>
    <w:rsid w:val="000617AB"/>
    <w:rsid w:val="000651C1"/>
    <w:rsid w:val="00066AA2"/>
    <w:rsid w:val="00070A6B"/>
    <w:rsid w:val="00074963"/>
    <w:rsid w:val="00075B0D"/>
    <w:rsid w:val="000868B4"/>
    <w:rsid w:val="000941B4"/>
    <w:rsid w:val="00096200"/>
    <w:rsid w:val="000A1D9D"/>
    <w:rsid w:val="000A51E1"/>
    <w:rsid w:val="000A57EE"/>
    <w:rsid w:val="000A653E"/>
    <w:rsid w:val="000B025F"/>
    <w:rsid w:val="000B14D3"/>
    <w:rsid w:val="000B5FE3"/>
    <w:rsid w:val="000B6528"/>
    <w:rsid w:val="000B7CEC"/>
    <w:rsid w:val="000C190D"/>
    <w:rsid w:val="000C1A99"/>
    <w:rsid w:val="000C28F6"/>
    <w:rsid w:val="000C3220"/>
    <w:rsid w:val="000C3E1C"/>
    <w:rsid w:val="000E074D"/>
    <w:rsid w:val="000E1DFB"/>
    <w:rsid w:val="000F0E72"/>
    <w:rsid w:val="000F6C6A"/>
    <w:rsid w:val="000F6C71"/>
    <w:rsid w:val="000F76A9"/>
    <w:rsid w:val="00106BB4"/>
    <w:rsid w:val="00125433"/>
    <w:rsid w:val="00127ACD"/>
    <w:rsid w:val="001343E4"/>
    <w:rsid w:val="001346DF"/>
    <w:rsid w:val="00142235"/>
    <w:rsid w:val="00143491"/>
    <w:rsid w:val="001455A1"/>
    <w:rsid w:val="00150BCA"/>
    <w:rsid w:val="00150ED7"/>
    <w:rsid w:val="00172E23"/>
    <w:rsid w:val="00173BB3"/>
    <w:rsid w:val="00177899"/>
    <w:rsid w:val="0018000C"/>
    <w:rsid w:val="00187CAA"/>
    <w:rsid w:val="001912F2"/>
    <w:rsid w:val="00193741"/>
    <w:rsid w:val="001A52F1"/>
    <w:rsid w:val="001B5218"/>
    <w:rsid w:val="001B5859"/>
    <w:rsid w:val="001B6A64"/>
    <w:rsid w:val="001C0F7C"/>
    <w:rsid w:val="001C7A99"/>
    <w:rsid w:val="001D2FFE"/>
    <w:rsid w:val="001D594F"/>
    <w:rsid w:val="001D5F38"/>
    <w:rsid w:val="001D698E"/>
    <w:rsid w:val="001E05E7"/>
    <w:rsid w:val="001E1BD3"/>
    <w:rsid w:val="001E7DD9"/>
    <w:rsid w:val="001F046C"/>
    <w:rsid w:val="001F0A70"/>
    <w:rsid w:val="001F1E8F"/>
    <w:rsid w:val="001F325D"/>
    <w:rsid w:val="001F3528"/>
    <w:rsid w:val="001F4CF2"/>
    <w:rsid w:val="001F5C0E"/>
    <w:rsid w:val="001F5D1E"/>
    <w:rsid w:val="00201B2E"/>
    <w:rsid w:val="00205EFA"/>
    <w:rsid w:val="002105B4"/>
    <w:rsid w:val="00233B5C"/>
    <w:rsid w:val="002340F5"/>
    <w:rsid w:val="00234345"/>
    <w:rsid w:val="0023622C"/>
    <w:rsid w:val="00236B82"/>
    <w:rsid w:val="0024029E"/>
    <w:rsid w:val="002413EA"/>
    <w:rsid w:val="002429E9"/>
    <w:rsid w:val="00242A40"/>
    <w:rsid w:val="00244DC8"/>
    <w:rsid w:val="002641AA"/>
    <w:rsid w:val="002654CE"/>
    <w:rsid w:val="0026677A"/>
    <w:rsid w:val="0027134F"/>
    <w:rsid w:val="002713A5"/>
    <w:rsid w:val="00271E88"/>
    <w:rsid w:val="0027276F"/>
    <w:rsid w:val="00276DC1"/>
    <w:rsid w:val="002A43FA"/>
    <w:rsid w:val="002A5EF1"/>
    <w:rsid w:val="002B165E"/>
    <w:rsid w:val="002B6C66"/>
    <w:rsid w:val="002C00D4"/>
    <w:rsid w:val="002C191D"/>
    <w:rsid w:val="002C3ABB"/>
    <w:rsid w:val="002C5730"/>
    <w:rsid w:val="002C7D65"/>
    <w:rsid w:val="002D1B38"/>
    <w:rsid w:val="002D2685"/>
    <w:rsid w:val="002E093A"/>
    <w:rsid w:val="002F6973"/>
    <w:rsid w:val="0030185F"/>
    <w:rsid w:val="00312493"/>
    <w:rsid w:val="00314082"/>
    <w:rsid w:val="003145FA"/>
    <w:rsid w:val="00320964"/>
    <w:rsid w:val="00323CB9"/>
    <w:rsid w:val="003251DE"/>
    <w:rsid w:val="00330053"/>
    <w:rsid w:val="00337E0F"/>
    <w:rsid w:val="00346338"/>
    <w:rsid w:val="0034743F"/>
    <w:rsid w:val="00366837"/>
    <w:rsid w:val="00370245"/>
    <w:rsid w:val="00372FC9"/>
    <w:rsid w:val="003738AD"/>
    <w:rsid w:val="003740CB"/>
    <w:rsid w:val="0037482D"/>
    <w:rsid w:val="003806E8"/>
    <w:rsid w:val="0038088A"/>
    <w:rsid w:val="0038367B"/>
    <w:rsid w:val="00386694"/>
    <w:rsid w:val="003A2258"/>
    <w:rsid w:val="003A22C7"/>
    <w:rsid w:val="003A461A"/>
    <w:rsid w:val="003A526A"/>
    <w:rsid w:val="003B1E97"/>
    <w:rsid w:val="003B2285"/>
    <w:rsid w:val="003B2FE6"/>
    <w:rsid w:val="003B5295"/>
    <w:rsid w:val="003C3D0D"/>
    <w:rsid w:val="003C3E07"/>
    <w:rsid w:val="003E1696"/>
    <w:rsid w:val="003E5094"/>
    <w:rsid w:val="003F465F"/>
    <w:rsid w:val="00405066"/>
    <w:rsid w:val="00407624"/>
    <w:rsid w:val="004105C0"/>
    <w:rsid w:val="004116FF"/>
    <w:rsid w:val="00411D69"/>
    <w:rsid w:val="00422BF0"/>
    <w:rsid w:val="00423C38"/>
    <w:rsid w:val="00426172"/>
    <w:rsid w:val="0042656E"/>
    <w:rsid w:val="00432037"/>
    <w:rsid w:val="00433FAE"/>
    <w:rsid w:val="004358F9"/>
    <w:rsid w:val="00435F7C"/>
    <w:rsid w:val="00444294"/>
    <w:rsid w:val="00444B75"/>
    <w:rsid w:val="00447D46"/>
    <w:rsid w:val="004500D1"/>
    <w:rsid w:val="00452280"/>
    <w:rsid w:val="00455E0A"/>
    <w:rsid w:val="00462AB5"/>
    <w:rsid w:val="0046339D"/>
    <w:rsid w:val="004701A0"/>
    <w:rsid w:val="00471322"/>
    <w:rsid w:val="00474D2C"/>
    <w:rsid w:val="0047584B"/>
    <w:rsid w:val="004809BD"/>
    <w:rsid w:val="00483E32"/>
    <w:rsid w:val="004917D8"/>
    <w:rsid w:val="004A0886"/>
    <w:rsid w:val="004A1ED9"/>
    <w:rsid w:val="004A2195"/>
    <w:rsid w:val="004B4D66"/>
    <w:rsid w:val="004C4C5C"/>
    <w:rsid w:val="004C537E"/>
    <w:rsid w:val="004C564B"/>
    <w:rsid w:val="004D0F65"/>
    <w:rsid w:val="004D22E1"/>
    <w:rsid w:val="004D356A"/>
    <w:rsid w:val="004D65D1"/>
    <w:rsid w:val="004E0CB1"/>
    <w:rsid w:val="004E0D3B"/>
    <w:rsid w:val="004E543C"/>
    <w:rsid w:val="004F4D03"/>
    <w:rsid w:val="004F5D9F"/>
    <w:rsid w:val="004F7532"/>
    <w:rsid w:val="00501A54"/>
    <w:rsid w:val="005068A4"/>
    <w:rsid w:val="00506E57"/>
    <w:rsid w:val="00510746"/>
    <w:rsid w:val="005206A6"/>
    <w:rsid w:val="0052400E"/>
    <w:rsid w:val="005261F6"/>
    <w:rsid w:val="00531D60"/>
    <w:rsid w:val="00532EA1"/>
    <w:rsid w:val="0053613C"/>
    <w:rsid w:val="005400A3"/>
    <w:rsid w:val="005477E7"/>
    <w:rsid w:val="00550085"/>
    <w:rsid w:val="005528CA"/>
    <w:rsid w:val="00556AC2"/>
    <w:rsid w:val="00561C16"/>
    <w:rsid w:val="00561CD5"/>
    <w:rsid w:val="00564216"/>
    <w:rsid w:val="00564788"/>
    <w:rsid w:val="00573D0E"/>
    <w:rsid w:val="00580FDC"/>
    <w:rsid w:val="00584D60"/>
    <w:rsid w:val="00584DD0"/>
    <w:rsid w:val="0059398C"/>
    <w:rsid w:val="005A5F02"/>
    <w:rsid w:val="005B4930"/>
    <w:rsid w:val="005C3693"/>
    <w:rsid w:val="005C4FFA"/>
    <w:rsid w:val="005D2FED"/>
    <w:rsid w:val="005D3579"/>
    <w:rsid w:val="005D7F89"/>
    <w:rsid w:val="005F15A1"/>
    <w:rsid w:val="005F333D"/>
    <w:rsid w:val="005F5FD4"/>
    <w:rsid w:val="00603858"/>
    <w:rsid w:val="00603B3A"/>
    <w:rsid w:val="0060549D"/>
    <w:rsid w:val="006137D5"/>
    <w:rsid w:val="006215B9"/>
    <w:rsid w:val="00630121"/>
    <w:rsid w:val="00635EDE"/>
    <w:rsid w:val="0063735D"/>
    <w:rsid w:val="00642675"/>
    <w:rsid w:val="00642802"/>
    <w:rsid w:val="00644CCC"/>
    <w:rsid w:val="00647734"/>
    <w:rsid w:val="0065479A"/>
    <w:rsid w:val="00664C02"/>
    <w:rsid w:val="00670E92"/>
    <w:rsid w:val="00676052"/>
    <w:rsid w:val="00677A91"/>
    <w:rsid w:val="00677DCB"/>
    <w:rsid w:val="00681187"/>
    <w:rsid w:val="00691042"/>
    <w:rsid w:val="00691269"/>
    <w:rsid w:val="006A0BFE"/>
    <w:rsid w:val="006A0EC4"/>
    <w:rsid w:val="006A4546"/>
    <w:rsid w:val="006B42AF"/>
    <w:rsid w:val="006C0927"/>
    <w:rsid w:val="006C3D65"/>
    <w:rsid w:val="006C7408"/>
    <w:rsid w:val="006D0094"/>
    <w:rsid w:val="006D4AC1"/>
    <w:rsid w:val="006F1F3E"/>
    <w:rsid w:val="006F60D8"/>
    <w:rsid w:val="00700809"/>
    <w:rsid w:val="00706D2B"/>
    <w:rsid w:val="007101A5"/>
    <w:rsid w:val="007125D0"/>
    <w:rsid w:val="00712DCB"/>
    <w:rsid w:val="00713777"/>
    <w:rsid w:val="00725EEA"/>
    <w:rsid w:val="00730812"/>
    <w:rsid w:val="007312BE"/>
    <w:rsid w:val="007328ED"/>
    <w:rsid w:val="00732E99"/>
    <w:rsid w:val="007360C3"/>
    <w:rsid w:val="0073761C"/>
    <w:rsid w:val="00745AD1"/>
    <w:rsid w:val="007475F4"/>
    <w:rsid w:val="0075210A"/>
    <w:rsid w:val="00752C40"/>
    <w:rsid w:val="0075723E"/>
    <w:rsid w:val="00764718"/>
    <w:rsid w:val="00764C78"/>
    <w:rsid w:val="00772CF3"/>
    <w:rsid w:val="00785B48"/>
    <w:rsid w:val="0078634D"/>
    <w:rsid w:val="00787830"/>
    <w:rsid w:val="00791EDD"/>
    <w:rsid w:val="00793618"/>
    <w:rsid w:val="00796E42"/>
    <w:rsid w:val="007A5C1E"/>
    <w:rsid w:val="007B05D9"/>
    <w:rsid w:val="007B3BE2"/>
    <w:rsid w:val="007B3DF4"/>
    <w:rsid w:val="007C57D9"/>
    <w:rsid w:val="007C5B0F"/>
    <w:rsid w:val="007D2472"/>
    <w:rsid w:val="007D3537"/>
    <w:rsid w:val="007D360F"/>
    <w:rsid w:val="007E7E83"/>
    <w:rsid w:val="008058D3"/>
    <w:rsid w:val="00815B8B"/>
    <w:rsid w:val="00822AA2"/>
    <w:rsid w:val="00835C3D"/>
    <w:rsid w:val="00837A3B"/>
    <w:rsid w:val="00837E89"/>
    <w:rsid w:val="00841A77"/>
    <w:rsid w:val="00843397"/>
    <w:rsid w:val="0084718D"/>
    <w:rsid w:val="008516CA"/>
    <w:rsid w:val="00852EEC"/>
    <w:rsid w:val="008549F1"/>
    <w:rsid w:val="0089214C"/>
    <w:rsid w:val="00893BF7"/>
    <w:rsid w:val="008A25A9"/>
    <w:rsid w:val="008A6A87"/>
    <w:rsid w:val="008B46FB"/>
    <w:rsid w:val="008B5F7E"/>
    <w:rsid w:val="008B653B"/>
    <w:rsid w:val="008C2DE4"/>
    <w:rsid w:val="008D26B0"/>
    <w:rsid w:val="008D3C1A"/>
    <w:rsid w:val="008E0AE7"/>
    <w:rsid w:val="008F05D3"/>
    <w:rsid w:val="008F3BC4"/>
    <w:rsid w:val="008F60A2"/>
    <w:rsid w:val="00900A89"/>
    <w:rsid w:val="00901992"/>
    <w:rsid w:val="00903A3E"/>
    <w:rsid w:val="0090401F"/>
    <w:rsid w:val="00905515"/>
    <w:rsid w:val="0091023B"/>
    <w:rsid w:val="00912AF8"/>
    <w:rsid w:val="009440C2"/>
    <w:rsid w:val="009501A3"/>
    <w:rsid w:val="009549F4"/>
    <w:rsid w:val="00955CF3"/>
    <w:rsid w:val="0096412C"/>
    <w:rsid w:val="0096590C"/>
    <w:rsid w:val="0097079A"/>
    <w:rsid w:val="00975C77"/>
    <w:rsid w:val="00990856"/>
    <w:rsid w:val="00991CED"/>
    <w:rsid w:val="009934A8"/>
    <w:rsid w:val="009960F4"/>
    <w:rsid w:val="009A0E3A"/>
    <w:rsid w:val="009A2F5A"/>
    <w:rsid w:val="009A394F"/>
    <w:rsid w:val="009A4E04"/>
    <w:rsid w:val="009A5FE0"/>
    <w:rsid w:val="009C3CC1"/>
    <w:rsid w:val="009C40A6"/>
    <w:rsid w:val="009C7513"/>
    <w:rsid w:val="009D5646"/>
    <w:rsid w:val="009E7129"/>
    <w:rsid w:val="009F23A1"/>
    <w:rsid w:val="009F5AD7"/>
    <w:rsid w:val="009F6A90"/>
    <w:rsid w:val="009F7D0C"/>
    <w:rsid w:val="00A01354"/>
    <w:rsid w:val="00A0296C"/>
    <w:rsid w:val="00A03110"/>
    <w:rsid w:val="00A049FB"/>
    <w:rsid w:val="00A20F66"/>
    <w:rsid w:val="00A32075"/>
    <w:rsid w:val="00A32F23"/>
    <w:rsid w:val="00A44AD5"/>
    <w:rsid w:val="00A453EE"/>
    <w:rsid w:val="00A47763"/>
    <w:rsid w:val="00A47FC8"/>
    <w:rsid w:val="00A539E9"/>
    <w:rsid w:val="00A54D00"/>
    <w:rsid w:val="00A54DC9"/>
    <w:rsid w:val="00A57909"/>
    <w:rsid w:val="00A57BF1"/>
    <w:rsid w:val="00A61516"/>
    <w:rsid w:val="00A620D4"/>
    <w:rsid w:val="00A63AD4"/>
    <w:rsid w:val="00A73C95"/>
    <w:rsid w:val="00A75420"/>
    <w:rsid w:val="00A83203"/>
    <w:rsid w:val="00A848EA"/>
    <w:rsid w:val="00A958F9"/>
    <w:rsid w:val="00A95C8B"/>
    <w:rsid w:val="00A9671D"/>
    <w:rsid w:val="00A96E5E"/>
    <w:rsid w:val="00A9760C"/>
    <w:rsid w:val="00AA10B1"/>
    <w:rsid w:val="00AA4DA4"/>
    <w:rsid w:val="00AB0973"/>
    <w:rsid w:val="00AB57AE"/>
    <w:rsid w:val="00AB72CF"/>
    <w:rsid w:val="00AC5B72"/>
    <w:rsid w:val="00AC7C96"/>
    <w:rsid w:val="00AD5B0F"/>
    <w:rsid w:val="00AD6C6D"/>
    <w:rsid w:val="00AE3686"/>
    <w:rsid w:val="00AE6C61"/>
    <w:rsid w:val="00AF0943"/>
    <w:rsid w:val="00AF4D7F"/>
    <w:rsid w:val="00B00166"/>
    <w:rsid w:val="00B00862"/>
    <w:rsid w:val="00B071FE"/>
    <w:rsid w:val="00B07C57"/>
    <w:rsid w:val="00B14297"/>
    <w:rsid w:val="00B1451E"/>
    <w:rsid w:val="00B146AD"/>
    <w:rsid w:val="00B17ACC"/>
    <w:rsid w:val="00B266E9"/>
    <w:rsid w:val="00B272E3"/>
    <w:rsid w:val="00B37D61"/>
    <w:rsid w:val="00B41E07"/>
    <w:rsid w:val="00B431F4"/>
    <w:rsid w:val="00B43916"/>
    <w:rsid w:val="00B46058"/>
    <w:rsid w:val="00B4765A"/>
    <w:rsid w:val="00B516F9"/>
    <w:rsid w:val="00B53F30"/>
    <w:rsid w:val="00B54755"/>
    <w:rsid w:val="00B54BB8"/>
    <w:rsid w:val="00B63338"/>
    <w:rsid w:val="00B7467F"/>
    <w:rsid w:val="00B82834"/>
    <w:rsid w:val="00B86DF8"/>
    <w:rsid w:val="00B87057"/>
    <w:rsid w:val="00B91286"/>
    <w:rsid w:val="00B95149"/>
    <w:rsid w:val="00BA013F"/>
    <w:rsid w:val="00BB1AA8"/>
    <w:rsid w:val="00BB5845"/>
    <w:rsid w:val="00BC0C60"/>
    <w:rsid w:val="00BC2F38"/>
    <w:rsid w:val="00BC3642"/>
    <w:rsid w:val="00BC5031"/>
    <w:rsid w:val="00BC5197"/>
    <w:rsid w:val="00BD5F6E"/>
    <w:rsid w:val="00BD638D"/>
    <w:rsid w:val="00BE0B17"/>
    <w:rsid w:val="00BE65B7"/>
    <w:rsid w:val="00BF1988"/>
    <w:rsid w:val="00BF1AF4"/>
    <w:rsid w:val="00BF5030"/>
    <w:rsid w:val="00BF696F"/>
    <w:rsid w:val="00C0174A"/>
    <w:rsid w:val="00C022D9"/>
    <w:rsid w:val="00C02EB6"/>
    <w:rsid w:val="00C06FB9"/>
    <w:rsid w:val="00C077F7"/>
    <w:rsid w:val="00C109CF"/>
    <w:rsid w:val="00C10E07"/>
    <w:rsid w:val="00C13730"/>
    <w:rsid w:val="00C156CA"/>
    <w:rsid w:val="00C214BF"/>
    <w:rsid w:val="00C27819"/>
    <w:rsid w:val="00C30E61"/>
    <w:rsid w:val="00C42641"/>
    <w:rsid w:val="00C47062"/>
    <w:rsid w:val="00C57B57"/>
    <w:rsid w:val="00C61AF2"/>
    <w:rsid w:val="00C61B09"/>
    <w:rsid w:val="00C65E70"/>
    <w:rsid w:val="00C65F5B"/>
    <w:rsid w:val="00C72531"/>
    <w:rsid w:val="00C7549A"/>
    <w:rsid w:val="00C76481"/>
    <w:rsid w:val="00C84BC2"/>
    <w:rsid w:val="00C86C66"/>
    <w:rsid w:val="00C902EB"/>
    <w:rsid w:val="00CA1AF0"/>
    <w:rsid w:val="00CA345B"/>
    <w:rsid w:val="00CA793B"/>
    <w:rsid w:val="00CB2A02"/>
    <w:rsid w:val="00CC1612"/>
    <w:rsid w:val="00CC1F20"/>
    <w:rsid w:val="00CD4BE1"/>
    <w:rsid w:val="00CD5A2F"/>
    <w:rsid w:val="00CD7AE3"/>
    <w:rsid w:val="00CE566A"/>
    <w:rsid w:val="00CE7A80"/>
    <w:rsid w:val="00CF33E8"/>
    <w:rsid w:val="00CF5669"/>
    <w:rsid w:val="00D01D0F"/>
    <w:rsid w:val="00D10EA5"/>
    <w:rsid w:val="00D117CE"/>
    <w:rsid w:val="00D13849"/>
    <w:rsid w:val="00D1529E"/>
    <w:rsid w:val="00D166E1"/>
    <w:rsid w:val="00D2081A"/>
    <w:rsid w:val="00D21136"/>
    <w:rsid w:val="00D34CCD"/>
    <w:rsid w:val="00D37327"/>
    <w:rsid w:val="00D40908"/>
    <w:rsid w:val="00D448F1"/>
    <w:rsid w:val="00D509B8"/>
    <w:rsid w:val="00D54AF4"/>
    <w:rsid w:val="00D54DBB"/>
    <w:rsid w:val="00D56791"/>
    <w:rsid w:val="00D6631C"/>
    <w:rsid w:val="00D70B24"/>
    <w:rsid w:val="00D70D35"/>
    <w:rsid w:val="00D73BB3"/>
    <w:rsid w:val="00D761D7"/>
    <w:rsid w:val="00D80E55"/>
    <w:rsid w:val="00D8624D"/>
    <w:rsid w:val="00D97CA1"/>
    <w:rsid w:val="00DA32DE"/>
    <w:rsid w:val="00DA7CC8"/>
    <w:rsid w:val="00DB1C16"/>
    <w:rsid w:val="00DB1F2D"/>
    <w:rsid w:val="00DB4578"/>
    <w:rsid w:val="00DC16FE"/>
    <w:rsid w:val="00DC39D8"/>
    <w:rsid w:val="00DD1D15"/>
    <w:rsid w:val="00DD7FC3"/>
    <w:rsid w:val="00DE023F"/>
    <w:rsid w:val="00E035C9"/>
    <w:rsid w:val="00E109AC"/>
    <w:rsid w:val="00E109CA"/>
    <w:rsid w:val="00E11F67"/>
    <w:rsid w:val="00E17B5B"/>
    <w:rsid w:val="00E22D06"/>
    <w:rsid w:val="00E25290"/>
    <w:rsid w:val="00E26F2C"/>
    <w:rsid w:val="00E354F7"/>
    <w:rsid w:val="00E363F4"/>
    <w:rsid w:val="00E4705E"/>
    <w:rsid w:val="00E52A73"/>
    <w:rsid w:val="00E54F8A"/>
    <w:rsid w:val="00E61485"/>
    <w:rsid w:val="00E64D7E"/>
    <w:rsid w:val="00E65940"/>
    <w:rsid w:val="00E72757"/>
    <w:rsid w:val="00E7530B"/>
    <w:rsid w:val="00E75D53"/>
    <w:rsid w:val="00E80FDE"/>
    <w:rsid w:val="00E8192B"/>
    <w:rsid w:val="00E93B86"/>
    <w:rsid w:val="00E970D8"/>
    <w:rsid w:val="00EA5763"/>
    <w:rsid w:val="00EB562F"/>
    <w:rsid w:val="00EB5A1A"/>
    <w:rsid w:val="00EC2F9D"/>
    <w:rsid w:val="00EC3118"/>
    <w:rsid w:val="00EC6250"/>
    <w:rsid w:val="00ED09BB"/>
    <w:rsid w:val="00ED1EBE"/>
    <w:rsid w:val="00ED5D7A"/>
    <w:rsid w:val="00EE6832"/>
    <w:rsid w:val="00EF7FCE"/>
    <w:rsid w:val="00F02677"/>
    <w:rsid w:val="00F072F5"/>
    <w:rsid w:val="00F109E3"/>
    <w:rsid w:val="00F13437"/>
    <w:rsid w:val="00F21368"/>
    <w:rsid w:val="00F22571"/>
    <w:rsid w:val="00F228E2"/>
    <w:rsid w:val="00F25898"/>
    <w:rsid w:val="00F30B4C"/>
    <w:rsid w:val="00F33C4F"/>
    <w:rsid w:val="00F363D4"/>
    <w:rsid w:val="00F36F5A"/>
    <w:rsid w:val="00F4315E"/>
    <w:rsid w:val="00F5661C"/>
    <w:rsid w:val="00F5697C"/>
    <w:rsid w:val="00F57E1D"/>
    <w:rsid w:val="00F62065"/>
    <w:rsid w:val="00F668C0"/>
    <w:rsid w:val="00F77DE6"/>
    <w:rsid w:val="00F80CEC"/>
    <w:rsid w:val="00F8202F"/>
    <w:rsid w:val="00F83239"/>
    <w:rsid w:val="00F87D9F"/>
    <w:rsid w:val="00F92212"/>
    <w:rsid w:val="00F923C0"/>
    <w:rsid w:val="00FA352E"/>
    <w:rsid w:val="00FD52E2"/>
    <w:rsid w:val="00FE4B5D"/>
    <w:rsid w:val="00FF1059"/>
    <w:rsid w:val="00FF135F"/>
    <w:rsid w:val="00FF4A0A"/>
    <w:rsid w:val="00F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DEDB115-7709-4A54-9675-995FAF70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styleId="Bezriadkovania">
    <w:name w:val="No Spacing"/>
    <w:uiPriority w:val="1"/>
    <w:qFormat/>
    <w:rsid w:val="00205EF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NormlnIMP">
    <w:name w:val="Normální_IMP"/>
    <w:basedOn w:val="Normlny"/>
    <w:rsid w:val="0089214C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customStyle="1" w:styleId="Odsekzoznamu10">
    <w:name w:val="Odsek zoznamu10"/>
    <w:basedOn w:val="Normlny"/>
    <w:rsid w:val="00EE6832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506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6E5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6E57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6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6E57"/>
    <w:rPr>
      <w:rFonts w:ascii="Times New Roman" w:eastAsia="Times New Roman" w:hAnsi="Times New Roman" w:cs="Times New Roman"/>
      <w:b/>
      <w:bCs/>
      <w:color w:val="000000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271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6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5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9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6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7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7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A7432-98D2-404A-8FF7-F9EAB1CA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 Žid</dc:creator>
  <cp:lastModifiedBy>xxxx xxxx</cp:lastModifiedBy>
  <cp:revision>37</cp:revision>
  <cp:lastPrinted>2020-02-13T13:42:00Z</cp:lastPrinted>
  <dcterms:created xsi:type="dcterms:W3CDTF">2018-06-07T08:56:00Z</dcterms:created>
  <dcterms:modified xsi:type="dcterms:W3CDTF">2020-02-13T13:47:00Z</dcterms:modified>
</cp:coreProperties>
</file>