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EFA" w:rsidRDefault="00A16EFA" w:rsidP="00A16EFA">
      <w:pPr>
        <w:pStyle w:val="Normlny1"/>
        <w:tabs>
          <w:tab w:val="left" w:pos="5040"/>
        </w:tabs>
        <w:ind w:left="708" w:hanging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 o p l n e n i e   m a t e r i á l u</w:t>
      </w:r>
    </w:p>
    <w:p w:rsidR="00A16EFA" w:rsidRDefault="00A16EFA" w:rsidP="00A16EFA">
      <w:pPr>
        <w:pStyle w:val="Normlny1"/>
        <w:tabs>
          <w:tab w:val="left" w:pos="5040"/>
        </w:tabs>
        <w:ind w:left="708" w:hanging="708"/>
        <w:jc w:val="center"/>
        <w:rPr>
          <w:b/>
          <w:sz w:val="24"/>
          <w:szCs w:val="24"/>
        </w:rPr>
      </w:pPr>
    </w:p>
    <w:p w:rsidR="00A16EFA" w:rsidRDefault="00A16EFA" w:rsidP="00A16EFA">
      <w:pPr>
        <w:pStyle w:val="Normlny1"/>
        <w:tabs>
          <w:tab w:val="left" w:pos="5040"/>
        </w:tabs>
        <w:ind w:left="708" w:hanging="708"/>
        <w:jc w:val="both"/>
        <w:rPr>
          <w:b/>
          <w:sz w:val="24"/>
          <w:szCs w:val="24"/>
        </w:rPr>
      </w:pPr>
    </w:p>
    <w:p w:rsidR="00A16EFA" w:rsidRPr="00A16EFA" w:rsidRDefault="00A16EFA" w:rsidP="00A16EFA">
      <w:pPr>
        <w:pStyle w:val="Normlny1"/>
        <w:tabs>
          <w:tab w:val="left" w:pos="5040"/>
        </w:tabs>
        <w:ind w:left="708" w:hanging="708"/>
        <w:jc w:val="both"/>
        <w:rPr>
          <w:b/>
          <w:sz w:val="24"/>
          <w:szCs w:val="24"/>
          <w:u w:val="single"/>
        </w:rPr>
      </w:pPr>
      <w:r w:rsidRPr="00A16EFA">
        <w:rPr>
          <w:b/>
          <w:sz w:val="24"/>
          <w:szCs w:val="24"/>
        </w:rPr>
        <w:tab/>
      </w:r>
      <w:r w:rsidRPr="00A16EFA">
        <w:rPr>
          <w:b/>
          <w:sz w:val="24"/>
          <w:szCs w:val="24"/>
          <w:u w:val="single"/>
        </w:rPr>
        <w:t>Zmena uznesenia k bodu č. 12</w:t>
      </w:r>
    </w:p>
    <w:p w:rsidR="00A16EFA" w:rsidRDefault="00A16EFA" w:rsidP="00A16EFA">
      <w:pPr>
        <w:pStyle w:val="Normlny1"/>
        <w:tabs>
          <w:tab w:val="left" w:pos="5040"/>
        </w:tabs>
        <w:ind w:left="708" w:hanging="708"/>
        <w:jc w:val="both"/>
        <w:rPr>
          <w:b/>
          <w:sz w:val="24"/>
          <w:szCs w:val="24"/>
        </w:rPr>
      </w:pPr>
    </w:p>
    <w:p w:rsidR="00A16EFA" w:rsidRPr="00A16EFA" w:rsidRDefault="00A16EFA" w:rsidP="00A16EFA">
      <w:pPr>
        <w:pStyle w:val="Normlny1"/>
        <w:numPr>
          <w:ilvl w:val="0"/>
          <w:numId w:val="2"/>
        </w:numPr>
        <w:tabs>
          <w:tab w:val="left" w:pos="50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</w:t>
      </w:r>
      <w:r w:rsidRPr="00A16EFA">
        <w:rPr>
          <w:b/>
          <w:sz w:val="24"/>
          <w:szCs w:val="24"/>
        </w:rPr>
        <w:t xml:space="preserve">a rokovanie </w:t>
      </w:r>
      <w:proofErr w:type="spellStart"/>
      <w:r w:rsidRPr="00A16EFA">
        <w:rPr>
          <w:b/>
          <w:sz w:val="24"/>
          <w:szCs w:val="24"/>
        </w:rPr>
        <w:t>MsZ</w:t>
      </w:r>
      <w:proofErr w:type="spellEnd"/>
      <w:r w:rsidRPr="00A16EFA">
        <w:rPr>
          <w:b/>
          <w:sz w:val="24"/>
          <w:szCs w:val="24"/>
        </w:rPr>
        <w:t xml:space="preserve"> č. XXVIII/2014 dňa 30.01.2014 predložil </w:t>
      </w:r>
      <w:r w:rsidRPr="00A16EFA">
        <w:rPr>
          <w:b/>
          <w:kern w:val="2"/>
          <w:sz w:val="24"/>
          <w:szCs w:val="24"/>
        </w:rPr>
        <w:t xml:space="preserve">vedúci </w:t>
      </w:r>
      <w:r w:rsidRPr="00A16EFA">
        <w:rPr>
          <w:b/>
          <w:sz w:val="24"/>
          <w:szCs w:val="24"/>
        </w:rPr>
        <w:t>oddelenia výstavby, územného rozvoja a životného prostredia</w:t>
      </w:r>
      <w:r w:rsidRPr="00A16EFA">
        <w:rPr>
          <w:b/>
          <w:kern w:val="2"/>
          <w:sz w:val="24"/>
          <w:szCs w:val="24"/>
        </w:rPr>
        <w:t xml:space="preserve"> MsÚ Ing. arch. František Benko </w:t>
      </w:r>
    </w:p>
    <w:p w:rsidR="00A16EFA" w:rsidRDefault="00A16EFA" w:rsidP="00A16EFA">
      <w:pPr>
        <w:pStyle w:val="Normlny1"/>
        <w:tabs>
          <w:tab w:val="left" w:pos="5040"/>
        </w:tabs>
        <w:jc w:val="both"/>
        <w:rPr>
          <w:sz w:val="24"/>
          <w:szCs w:val="24"/>
        </w:rPr>
      </w:pPr>
    </w:p>
    <w:p w:rsidR="00A16EFA" w:rsidRDefault="00A16EFA" w:rsidP="00A16EFA">
      <w:pPr>
        <w:pStyle w:val="Normlny1"/>
        <w:tabs>
          <w:tab w:val="left" w:pos="5040"/>
        </w:tabs>
        <w:ind w:left="708" w:hanging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V časti </w:t>
      </w:r>
      <w:r w:rsidRPr="00635DCB">
        <w:rPr>
          <w:b/>
          <w:sz w:val="24"/>
          <w:szCs w:val="24"/>
          <w:u w:val="single"/>
        </w:rPr>
        <w:t>1.</w:t>
      </w:r>
    </w:p>
    <w:p w:rsidR="00A16EFA" w:rsidRDefault="00A16EFA" w:rsidP="00A16EFA">
      <w:pPr>
        <w:pStyle w:val="Normlny1"/>
        <w:tabs>
          <w:tab w:val="left" w:pos="5040"/>
        </w:tabs>
        <w:ind w:left="708" w:hanging="708"/>
        <w:jc w:val="both"/>
        <w:rPr>
          <w:sz w:val="24"/>
          <w:szCs w:val="24"/>
        </w:rPr>
      </w:pPr>
    </w:p>
    <w:p w:rsidR="00A16EFA" w:rsidRPr="003D568C" w:rsidRDefault="00A16EFA" w:rsidP="00A16EFA">
      <w:pPr>
        <w:pStyle w:val="Normlny1"/>
        <w:tabs>
          <w:tab w:val="left" w:pos="5040"/>
        </w:tabs>
        <w:ind w:left="708" w:hanging="708"/>
        <w:jc w:val="both"/>
        <w:rPr>
          <w:sz w:val="24"/>
          <w:szCs w:val="24"/>
        </w:rPr>
      </w:pPr>
      <w:r w:rsidRPr="003D568C">
        <w:rPr>
          <w:sz w:val="24"/>
          <w:szCs w:val="24"/>
        </w:rPr>
        <w:t xml:space="preserve">      VI.</w:t>
      </w:r>
      <w:r w:rsidRPr="003D568C">
        <w:rPr>
          <w:sz w:val="24"/>
          <w:szCs w:val="24"/>
        </w:rPr>
        <w:tab/>
        <w:t xml:space="preserve">Spôsob zabezpečenia záväzku Mesta Stará Ľubovňa voči ŠFRB: </w:t>
      </w:r>
    </w:p>
    <w:p w:rsidR="00A16EFA" w:rsidRPr="003D568C" w:rsidRDefault="00A16EFA" w:rsidP="00A16EFA">
      <w:pPr>
        <w:pStyle w:val="Normlny1"/>
        <w:tabs>
          <w:tab w:val="left" w:pos="5040"/>
        </w:tabs>
        <w:ind w:left="708" w:hanging="708"/>
        <w:jc w:val="both"/>
        <w:rPr>
          <w:sz w:val="24"/>
          <w:szCs w:val="24"/>
        </w:rPr>
      </w:pPr>
    </w:p>
    <w:p w:rsidR="00A16EFA" w:rsidRPr="003F665A" w:rsidRDefault="00A16EFA" w:rsidP="00A16EFA">
      <w:pPr>
        <w:pStyle w:val="Normlny1"/>
        <w:numPr>
          <w:ilvl w:val="0"/>
          <w:numId w:val="1"/>
        </w:numPr>
        <w:tabs>
          <w:tab w:val="left" w:pos="5040"/>
        </w:tabs>
        <w:overflowPunct/>
        <w:autoSpaceDE/>
        <w:jc w:val="both"/>
        <w:rPr>
          <w:color w:val="00B050"/>
          <w:sz w:val="24"/>
          <w:szCs w:val="24"/>
        </w:rPr>
      </w:pPr>
      <w:r>
        <w:rPr>
          <w:color w:val="00B050"/>
          <w:sz w:val="24"/>
          <w:szCs w:val="24"/>
        </w:rPr>
        <w:t xml:space="preserve">bankovou zárukou – </w:t>
      </w:r>
      <w:proofErr w:type="spellStart"/>
      <w:r>
        <w:rPr>
          <w:color w:val="00B050"/>
          <w:sz w:val="24"/>
          <w:szCs w:val="24"/>
        </w:rPr>
        <w:t>MsZ</w:t>
      </w:r>
      <w:proofErr w:type="spellEnd"/>
      <w:r>
        <w:rPr>
          <w:color w:val="00B050"/>
          <w:sz w:val="24"/>
          <w:szCs w:val="24"/>
        </w:rPr>
        <w:t xml:space="preserve"> súhlasí so zabezpečením bankovej záruky od Slovenskej sporiteľne, a. s., ručenie bude zabezpečené zmenkou a podpísanie dohody medzi Dlžníkom a Veriteľom bude ručené vo výške 343 840,--€ pre 1x 15 b. j. D1;</w:t>
      </w:r>
    </w:p>
    <w:p w:rsidR="00A16EFA" w:rsidRPr="003D568C" w:rsidRDefault="00A16EFA" w:rsidP="00A16EFA">
      <w:pPr>
        <w:pStyle w:val="Normlny1"/>
        <w:numPr>
          <w:ilvl w:val="0"/>
          <w:numId w:val="1"/>
        </w:numPr>
        <w:tabs>
          <w:tab w:val="left" w:pos="1440"/>
        </w:tabs>
        <w:overflowPunct/>
        <w:autoSpaceDE/>
        <w:jc w:val="both"/>
        <w:rPr>
          <w:sz w:val="24"/>
          <w:szCs w:val="24"/>
        </w:rPr>
      </w:pPr>
      <w:r w:rsidRPr="003D568C">
        <w:rPr>
          <w:sz w:val="24"/>
          <w:szCs w:val="24"/>
        </w:rPr>
        <w:t>po vybudovaní bytového domu spôsob zabezpečenia záväzku voči ŠFRB aj zriadením záložného práva v prospech ŠFRB k bytovému domu s 15 b. j., ktorý bude vybudovaný na pozemku C KN s </w:t>
      </w:r>
      <w:proofErr w:type="spellStart"/>
      <w:r w:rsidRPr="003D568C">
        <w:rPr>
          <w:sz w:val="24"/>
          <w:szCs w:val="24"/>
        </w:rPr>
        <w:t>parc</w:t>
      </w:r>
      <w:proofErr w:type="spellEnd"/>
      <w:r w:rsidRPr="003D568C">
        <w:rPr>
          <w:sz w:val="24"/>
          <w:szCs w:val="24"/>
        </w:rPr>
        <w:t>. č. 1935/142 zapísanom na LV č. 3696 k. ú. Stará Ľubovňa, k pozemku C KN s </w:t>
      </w:r>
      <w:proofErr w:type="spellStart"/>
      <w:r w:rsidRPr="003D568C">
        <w:rPr>
          <w:sz w:val="24"/>
          <w:szCs w:val="24"/>
        </w:rPr>
        <w:t>parc</w:t>
      </w:r>
      <w:proofErr w:type="spellEnd"/>
      <w:r w:rsidRPr="003D568C">
        <w:rPr>
          <w:sz w:val="24"/>
          <w:szCs w:val="24"/>
        </w:rPr>
        <w:t>. č. 1935/142 zapísanému na LV č. 3696 k. ú. Stará Ľubovňa a k priľahlým pozemkom zabezpečujúcim prístup k verejnej komunikácii.</w:t>
      </w:r>
    </w:p>
    <w:p w:rsidR="006756A5" w:rsidRDefault="006756A5"/>
    <w:p w:rsidR="00A16EFA" w:rsidRPr="00635DCB" w:rsidRDefault="00A16EFA" w:rsidP="00A16EFA">
      <w:pPr>
        <w:pStyle w:val="Normlny1"/>
        <w:tabs>
          <w:tab w:val="left" w:pos="5040"/>
        </w:tabs>
        <w:ind w:left="708" w:hanging="708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ab/>
        <w:t xml:space="preserve">V časti </w:t>
      </w:r>
      <w:r w:rsidRPr="00635DCB">
        <w:rPr>
          <w:b/>
          <w:sz w:val="24"/>
          <w:szCs w:val="24"/>
          <w:u w:val="single"/>
        </w:rPr>
        <w:t>2.</w:t>
      </w:r>
    </w:p>
    <w:p w:rsidR="00A16EFA" w:rsidRDefault="00A16EFA" w:rsidP="00A16EFA">
      <w:pPr>
        <w:pStyle w:val="Normlny1"/>
        <w:tabs>
          <w:tab w:val="left" w:pos="5040"/>
        </w:tabs>
        <w:jc w:val="both"/>
        <w:rPr>
          <w:sz w:val="24"/>
          <w:szCs w:val="24"/>
        </w:rPr>
      </w:pPr>
    </w:p>
    <w:p w:rsidR="00A16EFA" w:rsidRPr="003D568C" w:rsidRDefault="00A16EFA" w:rsidP="00A16EFA">
      <w:pPr>
        <w:pStyle w:val="Normlny1"/>
        <w:tabs>
          <w:tab w:val="left" w:pos="5040"/>
        </w:tabs>
        <w:ind w:left="708" w:hanging="708"/>
        <w:jc w:val="both"/>
        <w:rPr>
          <w:sz w:val="24"/>
          <w:szCs w:val="24"/>
        </w:rPr>
      </w:pPr>
      <w:r w:rsidRPr="003D568C">
        <w:rPr>
          <w:sz w:val="24"/>
          <w:szCs w:val="24"/>
        </w:rPr>
        <w:t xml:space="preserve">      VI.</w:t>
      </w:r>
      <w:r w:rsidRPr="003D568C">
        <w:rPr>
          <w:sz w:val="24"/>
          <w:szCs w:val="24"/>
        </w:rPr>
        <w:tab/>
        <w:t xml:space="preserve">Spôsob zabezpečenia záväzku Mesta Stará Ľubovňa voči ŠFRB: </w:t>
      </w:r>
    </w:p>
    <w:p w:rsidR="00A16EFA" w:rsidRPr="003D568C" w:rsidRDefault="00A16EFA" w:rsidP="00A16EFA">
      <w:pPr>
        <w:pStyle w:val="Normlny1"/>
        <w:tabs>
          <w:tab w:val="left" w:pos="5040"/>
        </w:tabs>
        <w:ind w:left="708" w:hanging="708"/>
        <w:jc w:val="both"/>
        <w:rPr>
          <w:sz w:val="24"/>
          <w:szCs w:val="24"/>
        </w:rPr>
      </w:pPr>
    </w:p>
    <w:p w:rsidR="00A16EFA" w:rsidRPr="003F665A" w:rsidRDefault="00A16EFA" w:rsidP="00A16EFA">
      <w:pPr>
        <w:pStyle w:val="Normlny1"/>
        <w:numPr>
          <w:ilvl w:val="0"/>
          <w:numId w:val="1"/>
        </w:numPr>
        <w:tabs>
          <w:tab w:val="left" w:pos="5040"/>
        </w:tabs>
        <w:overflowPunct/>
        <w:autoSpaceDE/>
        <w:jc w:val="both"/>
        <w:rPr>
          <w:color w:val="00B050"/>
          <w:sz w:val="24"/>
          <w:szCs w:val="24"/>
        </w:rPr>
      </w:pPr>
      <w:r>
        <w:rPr>
          <w:color w:val="00B050"/>
          <w:sz w:val="24"/>
          <w:szCs w:val="24"/>
        </w:rPr>
        <w:t xml:space="preserve">bankovou zárukou – </w:t>
      </w:r>
      <w:proofErr w:type="spellStart"/>
      <w:r>
        <w:rPr>
          <w:color w:val="00B050"/>
          <w:sz w:val="24"/>
          <w:szCs w:val="24"/>
        </w:rPr>
        <w:t>MsZ</w:t>
      </w:r>
      <w:proofErr w:type="spellEnd"/>
      <w:r>
        <w:rPr>
          <w:color w:val="00B050"/>
          <w:sz w:val="24"/>
          <w:szCs w:val="24"/>
        </w:rPr>
        <w:t xml:space="preserve"> súhlasí so zabezpečením bankovej záruky od Slovenskej sporiteľne, a. s., ručenie bude zabezpečené zmenkou a podpísanie dohody medzi Dlžníkom a Veriteľom bude ručené vo výške 343 840,--€ pre 1x 15 b. j. D5;</w:t>
      </w:r>
    </w:p>
    <w:p w:rsidR="00A16EFA" w:rsidRPr="003D568C" w:rsidRDefault="00A16EFA" w:rsidP="00A16EFA">
      <w:pPr>
        <w:pStyle w:val="Normlny1"/>
        <w:numPr>
          <w:ilvl w:val="0"/>
          <w:numId w:val="1"/>
        </w:numPr>
        <w:tabs>
          <w:tab w:val="left" w:pos="1440"/>
        </w:tabs>
        <w:overflowPunct/>
        <w:autoSpaceDE/>
        <w:jc w:val="both"/>
        <w:rPr>
          <w:sz w:val="24"/>
          <w:szCs w:val="24"/>
        </w:rPr>
      </w:pPr>
      <w:r w:rsidRPr="003D568C">
        <w:rPr>
          <w:sz w:val="24"/>
          <w:szCs w:val="24"/>
        </w:rPr>
        <w:t>po vybudovaní bytového domu spôsob zabezpečenia záväzku voči ŠFRB aj zriadením záložného práva v prospech ŠFRB k bytovému domu s 15 b. j., ktorý bude vybudovaný na pozemku C KN s </w:t>
      </w:r>
      <w:proofErr w:type="spellStart"/>
      <w:r w:rsidRPr="003D568C">
        <w:rPr>
          <w:sz w:val="24"/>
          <w:szCs w:val="24"/>
        </w:rPr>
        <w:t>parc</w:t>
      </w:r>
      <w:proofErr w:type="spellEnd"/>
      <w:r w:rsidRPr="003D568C">
        <w:rPr>
          <w:sz w:val="24"/>
          <w:szCs w:val="24"/>
        </w:rPr>
        <w:t>. č. 1935/142 zapísanom na LV č. 3696 k. ú. Stará Ľubovňa, k pozemku C KN s </w:t>
      </w:r>
      <w:proofErr w:type="spellStart"/>
      <w:r w:rsidRPr="003D568C">
        <w:rPr>
          <w:sz w:val="24"/>
          <w:szCs w:val="24"/>
        </w:rPr>
        <w:t>parc</w:t>
      </w:r>
      <w:proofErr w:type="spellEnd"/>
      <w:r w:rsidRPr="003D568C">
        <w:rPr>
          <w:sz w:val="24"/>
          <w:szCs w:val="24"/>
        </w:rPr>
        <w:t>. č. 1935/142 zapísanému na LV č. 3696 k. ú. Stará Ľubovňa a k priľahlým pozemkom zabezpečujúcim prístup k verejnej komunikácii.</w:t>
      </w:r>
    </w:p>
    <w:p w:rsidR="00A16EFA" w:rsidRDefault="00A16EFA" w:rsidP="00A16EFA"/>
    <w:p w:rsidR="00A16EFA" w:rsidRDefault="00A16EFA"/>
    <w:sectPr w:rsidR="00A16EFA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D4A29"/>
    <w:multiLevelType w:val="hybridMultilevel"/>
    <w:tmpl w:val="7B303B9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DA566E"/>
    <w:multiLevelType w:val="hybridMultilevel"/>
    <w:tmpl w:val="1752EBB2"/>
    <w:lvl w:ilvl="0" w:tplc="198216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6EFA"/>
    <w:rsid w:val="001413E4"/>
    <w:rsid w:val="00546A59"/>
    <w:rsid w:val="00635DCB"/>
    <w:rsid w:val="006756A5"/>
    <w:rsid w:val="00A1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56A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basedOn w:val="Normlny"/>
    <w:rsid w:val="00A16EFA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4</cp:revision>
  <cp:lastPrinted>2014-02-04T15:06:00Z</cp:lastPrinted>
  <dcterms:created xsi:type="dcterms:W3CDTF">2014-02-04T14:59:00Z</dcterms:created>
  <dcterms:modified xsi:type="dcterms:W3CDTF">2014-02-04T15:10:00Z</dcterms:modified>
</cp:coreProperties>
</file>