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45A783" w14:textId="77777777" w:rsidR="002A1EAA" w:rsidRDefault="002A1EAA" w:rsidP="007A2FCA">
      <w:pPr>
        <w:jc w:val="both"/>
        <w:rPr>
          <w:rFonts w:ascii="Arial Narrow" w:hAnsi="Arial Narrow"/>
          <w:sz w:val="22"/>
          <w:szCs w:val="22"/>
        </w:rPr>
      </w:pPr>
    </w:p>
    <w:p w14:paraId="54382468" w14:textId="77777777" w:rsidR="002A1EAA" w:rsidRPr="00834A25" w:rsidRDefault="002A1EAA" w:rsidP="002A1EAA">
      <w:pPr>
        <w:jc w:val="both"/>
        <w:rPr>
          <w:rFonts w:ascii="Arial Narrow" w:hAnsi="Arial Narrow"/>
          <w:b/>
          <w:sz w:val="22"/>
          <w:szCs w:val="22"/>
          <w:u w:val="single"/>
        </w:rPr>
      </w:pPr>
      <w:r w:rsidRPr="00834A25">
        <w:rPr>
          <w:rFonts w:ascii="Arial Narrow" w:hAnsi="Arial Narrow"/>
          <w:b/>
          <w:sz w:val="22"/>
          <w:szCs w:val="22"/>
          <w:u w:val="single"/>
        </w:rPr>
        <w:t xml:space="preserve">Walhalla, s.r.o., Murgašova č. 90/5, 058 01 Poprad, IČO: 36 511 366, zastúpená konateľom Ing. Alexandrom Chmelom </w:t>
      </w:r>
    </w:p>
    <w:p w14:paraId="08D97F21" w14:textId="77777777" w:rsidR="002A1EAA" w:rsidRDefault="002A1EAA" w:rsidP="002A1EAA">
      <w:pPr>
        <w:ind w:firstLine="180"/>
        <w:rPr>
          <w:rFonts w:ascii="Arial Narrow" w:hAnsi="Arial Narrow"/>
          <w:sz w:val="22"/>
          <w:szCs w:val="22"/>
        </w:rPr>
      </w:pPr>
    </w:p>
    <w:p w14:paraId="1AEEC432" w14:textId="77777777" w:rsidR="002A1EAA" w:rsidRDefault="002A1EAA" w:rsidP="002A1EAA">
      <w:pPr>
        <w:ind w:firstLine="180"/>
        <w:rPr>
          <w:rFonts w:ascii="Arial Narrow" w:hAnsi="Arial Narrow"/>
          <w:sz w:val="22"/>
          <w:szCs w:val="22"/>
        </w:rPr>
      </w:pPr>
    </w:p>
    <w:p w14:paraId="54E97646" w14:textId="77777777" w:rsidR="002A1EAA" w:rsidRDefault="002A1EAA" w:rsidP="002A1EAA">
      <w:pPr>
        <w:ind w:firstLine="180"/>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Titl. </w:t>
      </w:r>
    </w:p>
    <w:p w14:paraId="1B6B398B" w14:textId="77777777" w:rsidR="002A1EAA" w:rsidRPr="002A1EAA" w:rsidRDefault="002A1EAA" w:rsidP="002A1EAA">
      <w:pPr>
        <w:ind w:firstLine="180"/>
        <w:rPr>
          <w:rFonts w:ascii="Arial Narrow" w:hAnsi="Arial Narrow"/>
          <w:b/>
          <w:sz w:val="22"/>
          <w:szCs w:val="22"/>
        </w:rPr>
      </w:pP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r>
      <w:r w:rsidRPr="002A1EAA">
        <w:rPr>
          <w:rFonts w:ascii="Arial Narrow" w:hAnsi="Arial Narrow"/>
          <w:b/>
          <w:sz w:val="22"/>
          <w:szCs w:val="22"/>
        </w:rPr>
        <w:tab/>
        <w:t>Mesto Stará Ľubovňa</w:t>
      </w:r>
    </w:p>
    <w:p w14:paraId="7B8B425D" w14:textId="77777777" w:rsidR="002A1EAA" w:rsidRPr="00834A25" w:rsidRDefault="002A1EAA" w:rsidP="002A1EAA">
      <w:pPr>
        <w:ind w:left="4956" w:firstLine="708"/>
        <w:rPr>
          <w:rFonts w:ascii="Arial Narrow" w:hAnsi="Arial Narrow"/>
          <w:b/>
          <w:sz w:val="22"/>
          <w:szCs w:val="22"/>
        </w:rPr>
      </w:pPr>
      <w:r w:rsidRPr="00834A25">
        <w:rPr>
          <w:rFonts w:ascii="Arial Narrow" w:hAnsi="Arial Narrow"/>
          <w:b/>
          <w:sz w:val="22"/>
          <w:szCs w:val="22"/>
        </w:rPr>
        <w:t>Mestský úrad Stará Ľubovňa</w:t>
      </w:r>
    </w:p>
    <w:p w14:paraId="287DE4D2" w14:textId="77777777" w:rsidR="002A1EAA" w:rsidRDefault="002A1EAA" w:rsidP="002A1EAA">
      <w:pPr>
        <w:ind w:firstLine="180"/>
        <w:rPr>
          <w:rFonts w:ascii="Arial Narrow" w:hAnsi="Arial Narrow"/>
          <w:sz w:val="22"/>
          <w:szCs w:val="22"/>
        </w:rPr>
      </w:pPr>
    </w:p>
    <w:p w14:paraId="00C009A9" w14:textId="77777777" w:rsidR="002A1EAA" w:rsidRPr="00834A25" w:rsidRDefault="002A1EAA" w:rsidP="002A1EAA">
      <w:pPr>
        <w:ind w:firstLine="180"/>
        <w:rPr>
          <w:rFonts w:ascii="Arial Narrow" w:hAnsi="Arial Narrow"/>
          <w:b/>
          <w:sz w:val="22"/>
          <w:szCs w:val="22"/>
        </w:rPr>
      </w:pP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r>
      <w:r w:rsidRPr="00834A25">
        <w:rPr>
          <w:rFonts w:ascii="Arial Narrow" w:hAnsi="Arial Narrow"/>
          <w:b/>
          <w:sz w:val="22"/>
          <w:szCs w:val="22"/>
        </w:rPr>
        <w:tab/>
        <w:t>Stará Ľubovňa</w:t>
      </w:r>
    </w:p>
    <w:p w14:paraId="623F42CD" w14:textId="77777777" w:rsidR="002A1EAA" w:rsidRDefault="002A1EAA" w:rsidP="002A1EAA">
      <w:pPr>
        <w:ind w:firstLine="180"/>
        <w:rPr>
          <w:rFonts w:ascii="Arial Narrow" w:hAnsi="Arial Narrow"/>
          <w:sz w:val="22"/>
          <w:szCs w:val="22"/>
        </w:rPr>
      </w:pPr>
    </w:p>
    <w:p w14:paraId="2FF2AB56" w14:textId="77777777" w:rsidR="002A1EAA" w:rsidRDefault="002A1EAA" w:rsidP="002A1EAA">
      <w:pPr>
        <w:ind w:firstLine="180"/>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V Poprade, dňa 04.12.2015</w:t>
      </w:r>
    </w:p>
    <w:p w14:paraId="0BA3C0A9" w14:textId="77777777" w:rsidR="002A1EAA" w:rsidRDefault="002A1EAA" w:rsidP="002A1EAA">
      <w:pPr>
        <w:ind w:firstLine="180"/>
        <w:rPr>
          <w:rFonts w:ascii="Arial Narrow" w:hAnsi="Arial Narrow"/>
          <w:sz w:val="22"/>
          <w:szCs w:val="22"/>
        </w:rPr>
      </w:pPr>
    </w:p>
    <w:p w14:paraId="2422D2A3" w14:textId="77777777" w:rsidR="002A1EAA" w:rsidRDefault="002A1EAA" w:rsidP="002A1EAA">
      <w:pPr>
        <w:ind w:firstLine="180"/>
        <w:rPr>
          <w:rFonts w:ascii="Arial Narrow" w:hAnsi="Arial Narrow"/>
          <w:sz w:val="22"/>
          <w:szCs w:val="22"/>
        </w:rPr>
      </w:pPr>
    </w:p>
    <w:p w14:paraId="66F77661" w14:textId="77777777" w:rsidR="002A1EAA" w:rsidRPr="00834A25" w:rsidRDefault="002A1EAA" w:rsidP="002A1EAA">
      <w:pPr>
        <w:ind w:firstLine="180"/>
        <w:rPr>
          <w:rFonts w:ascii="Arial Narrow" w:hAnsi="Arial Narrow"/>
          <w:sz w:val="22"/>
          <w:szCs w:val="22"/>
        </w:rPr>
      </w:pPr>
    </w:p>
    <w:p w14:paraId="3E8545CC" w14:textId="77777777" w:rsidR="002A1EAA" w:rsidRDefault="002A1EAA" w:rsidP="002A1EAA">
      <w:pPr>
        <w:jc w:val="both"/>
        <w:rPr>
          <w:rFonts w:ascii="Arial Narrow" w:hAnsi="Arial Narrow"/>
          <w:b/>
          <w:bCs/>
          <w:sz w:val="22"/>
          <w:szCs w:val="22"/>
          <w:u w:val="single"/>
        </w:rPr>
      </w:pPr>
      <w:r>
        <w:rPr>
          <w:rFonts w:ascii="Arial Narrow" w:hAnsi="Arial Narrow"/>
          <w:sz w:val="22"/>
          <w:szCs w:val="22"/>
        </w:rPr>
        <w:t xml:space="preserve">VEC : </w:t>
      </w:r>
      <w:r>
        <w:rPr>
          <w:rFonts w:ascii="Arial Narrow" w:hAnsi="Arial Narrow"/>
          <w:b/>
          <w:bCs/>
          <w:sz w:val="22"/>
          <w:szCs w:val="22"/>
          <w:u w:val="single"/>
        </w:rPr>
        <w:t>Pripomienky k návrhu VZN č. 60 o zákaze prevádzkovania niektorých hazardných hier na území Mesta Stará Ľubovňa</w:t>
      </w:r>
    </w:p>
    <w:p w14:paraId="19D385CB" w14:textId="77777777" w:rsidR="002A1EAA" w:rsidRDefault="002A1EAA" w:rsidP="002A1EAA">
      <w:pPr>
        <w:rPr>
          <w:rFonts w:ascii="Arial Narrow" w:hAnsi="Arial Narrow"/>
          <w:b/>
          <w:bCs/>
          <w:sz w:val="22"/>
          <w:szCs w:val="22"/>
        </w:rPr>
      </w:pPr>
    </w:p>
    <w:p w14:paraId="62C078B0" w14:textId="77777777" w:rsidR="002A1EAA" w:rsidRDefault="002A1EAA" w:rsidP="002A1EAA">
      <w:pPr>
        <w:rPr>
          <w:rFonts w:ascii="Arial Narrow" w:hAnsi="Arial Narrow"/>
          <w:b/>
          <w:bCs/>
          <w:sz w:val="22"/>
          <w:szCs w:val="22"/>
        </w:rPr>
      </w:pPr>
    </w:p>
    <w:p w14:paraId="0CE2DDC5" w14:textId="77777777" w:rsidR="002A1EAA" w:rsidRDefault="002A1EAA" w:rsidP="002A1EAA">
      <w:pPr>
        <w:rPr>
          <w:rFonts w:ascii="Arial Narrow" w:hAnsi="Arial Narrow"/>
          <w:bCs/>
          <w:sz w:val="22"/>
          <w:szCs w:val="22"/>
        </w:rPr>
      </w:pPr>
      <w:r w:rsidRPr="002A1EAA">
        <w:rPr>
          <w:rFonts w:ascii="Arial Narrow" w:hAnsi="Arial Narrow"/>
          <w:bCs/>
          <w:sz w:val="22"/>
          <w:szCs w:val="22"/>
        </w:rPr>
        <w:t>Dňa</w:t>
      </w:r>
      <w:r>
        <w:rPr>
          <w:rFonts w:ascii="Arial Narrow" w:hAnsi="Arial Narrow"/>
          <w:bCs/>
          <w:sz w:val="22"/>
          <w:szCs w:val="22"/>
        </w:rPr>
        <w:t xml:space="preserve"> 10.12.2015 sa uskutoční zasadnutie mestského zastupiteľstva v Starej Ľubovni. </w:t>
      </w:r>
    </w:p>
    <w:p w14:paraId="76627C45" w14:textId="77777777" w:rsidR="002A1EAA" w:rsidRDefault="002A1EAA" w:rsidP="002A1EAA">
      <w:pPr>
        <w:rPr>
          <w:rFonts w:ascii="Arial Narrow" w:hAnsi="Arial Narrow"/>
          <w:bCs/>
          <w:sz w:val="22"/>
          <w:szCs w:val="22"/>
        </w:rPr>
      </w:pPr>
    </w:p>
    <w:p w14:paraId="3B465BA0" w14:textId="77777777" w:rsidR="002A1EAA" w:rsidRDefault="002A1EAA" w:rsidP="002A1EAA">
      <w:pPr>
        <w:jc w:val="both"/>
        <w:rPr>
          <w:rFonts w:ascii="Arial Narrow" w:hAnsi="Arial Narrow"/>
          <w:bCs/>
          <w:sz w:val="22"/>
          <w:szCs w:val="22"/>
        </w:rPr>
      </w:pPr>
      <w:r>
        <w:rPr>
          <w:rFonts w:ascii="Arial Narrow" w:hAnsi="Arial Narrow"/>
          <w:bCs/>
          <w:sz w:val="22"/>
          <w:szCs w:val="22"/>
        </w:rPr>
        <w:t xml:space="preserve">Na úradnej tabuli Mesta Stará Ľubovňa ako aj na jeho webovej stránke bol dňa 26.11.2015 zverejnený návrh Všeobecne záväzného nariadenia č. 60 o zákaze prevádzkovania niektorých hazardných hier na území Mesta Stará Ľubovňa, kde zo zverejneného návrhu vyplýva, že toto VZN by malo nadobudnúť účinnosť dňa 26.12.2015. S poukazom na zákonné lehoty je nesporné, že tento návrh by sa mal prerokovávať na zasadnutí MZ dňa 10.12.2015. </w:t>
      </w:r>
    </w:p>
    <w:p w14:paraId="1535ED02" w14:textId="77777777" w:rsidR="002A1EAA" w:rsidRDefault="002A1EAA" w:rsidP="002A1EAA">
      <w:pPr>
        <w:jc w:val="both"/>
        <w:rPr>
          <w:rFonts w:ascii="Arial Narrow" w:hAnsi="Arial Narrow"/>
          <w:bCs/>
          <w:sz w:val="22"/>
          <w:szCs w:val="22"/>
        </w:rPr>
      </w:pPr>
    </w:p>
    <w:p w14:paraId="50D21E12" w14:textId="77777777" w:rsidR="002A1EAA" w:rsidRPr="002A1EAA" w:rsidRDefault="002A1EAA" w:rsidP="002A1EAA">
      <w:pPr>
        <w:jc w:val="both"/>
        <w:rPr>
          <w:rFonts w:ascii="Arial Narrow" w:hAnsi="Arial Narrow"/>
          <w:bCs/>
          <w:sz w:val="22"/>
          <w:szCs w:val="22"/>
        </w:rPr>
      </w:pPr>
      <w:r>
        <w:rPr>
          <w:rFonts w:ascii="Arial Narrow" w:hAnsi="Arial Narrow"/>
          <w:bCs/>
          <w:sz w:val="22"/>
          <w:szCs w:val="22"/>
        </w:rPr>
        <w:t xml:space="preserve">K návrhu VZN môže ktokoľvek podať pripomienky a to v lehote do 10 dní odo dňa zverejnenia návrhu, kde táto lehota končí dňom 06.12.2015.  Týmto podaním podávame pripomienky k návrhu VZN č. 60 v nasledovnom nižšie uvedenom rozsahu.  </w:t>
      </w:r>
    </w:p>
    <w:p w14:paraId="27D88928" w14:textId="77777777" w:rsidR="002A1EAA" w:rsidRPr="00387472" w:rsidRDefault="002A1EAA" w:rsidP="00387472">
      <w:pPr>
        <w:jc w:val="both"/>
        <w:rPr>
          <w:rFonts w:ascii="Arial Narrow" w:hAnsi="Arial Narrow"/>
          <w:b/>
          <w:bCs/>
          <w:sz w:val="22"/>
          <w:szCs w:val="22"/>
        </w:rPr>
      </w:pPr>
    </w:p>
    <w:p w14:paraId="39129D99" w14:textId="77777777" w:rsidR="00387472" w:rsidRDefault="00387472" w:rsidP="00387472">
      <w:pPr>
        <w:jc w:val="both"/>
        <w:rPr>
          <w:rFonts w:ascii="Arial Narrow" w:hAnsi="Arial Narrow" w:cs="Arial"/>
          <w:sz w:val="22"/>
          <w:szCs w:val="22"/>
        </w:rPr>
      </w:pPr>
      <w:r w:rsidRPr="00387472">
        <w:rPr>
          <w:rFonts w:ascii="Arial Narrow" w:hAnsi="Arial Narrow" w:cs="Arial"/>
          <w:sz w:val="22"/>
          <w:szCs w:val="22"/>
        </w:rPr>
        <w:t xml:space="preserve">Do pripomienkovania sa tak môže zapojiť akákoľvek fyzická osoba a právnická osoba bez ohľadu na to, či má na území obce trvalý pobyt alebo sídlo. </w:t>
      </w:r>
    </w:p>
    <w:p w14:paraId="1A34B6CC" w14:textId="77777777" w:rsidR="00387472" w:rsidRDefault="00387472" w:rsidP="00387472">
      <w:pPr>
        <w:jc w:val="both"/>
        <w:rPr>
          <w:rFonts w:ascii="Arial Narrow" w:hAnsi="Arial Narrow" w:cs="Arial"/>
          <w:sz w:val="22"/>
          <w:szCs w:val="22"/>
        </w:rPr>
      </w:pPr>
    </w:p>
    <w:p w14:paraId="73557D22" w14:textId="77777777" w:rsidR="00387472" w:rsidRDefault="00387472" w:rsidP="00387472">
      <w:pPr>
        <w:jc w:val="both"/>
        <w:rPr>
          <w:rFonts w:ascii="Arial Narrow" w:hAnsi="Arial Narrow" w:cs="Arial"/>
          <w:sz w:val="22"/>
          <w:szCs w:val="22"/>
        </w:rPr>
      </w:pPr>
      <w:r w:rsidRPr="00387472">
        <w:rPr>
          <w:rFonts w:ascii="Arial Narrow" w:hAnsi="Arial Narrow" w:cs="Arial"/>
          <w:sz w:val="22"/>
          <w:szCs w:val="22"/>
        </w:rPr>
        <w:t>Zo samotného textu Ústavy Slovenskej republiky, ako aj zo zákona o obecnom zriadení vyplýva potreba rozlišovať medzi všeobecne záväznými nariadeniami vydanými obcou pri výkone samosprávnej pôsobnosti a všeobecne záväznými nariadeniami vydanými obcou pri výkone prenesenej štátnej správy.</w:t>
      </w:r>
      <w:r w:rsidRPr="00387472">
        <w:rPr>
          <w:rFonts w:ascii="Arial Narrow" w:hAnsi="Arial Narrow" w:cs="Arial"/>
          <w:sz w:val="22"/>
          <w:szCs w:val="22"/>
        </w:rPr>
        <w:br/>
      </w:r>
    </w:p>
    <w:p w14:paraId="31AE7711" w14:textId="77777777" w:rsidR="00387472" w:rsidRDefault="00387472" w:rsidP="00387472">
      <w:pPr>
        <w:jc w:val="both"/>
        <w:rPr>
          <w:rFonts w:ascii="Arial Narrow" w:hAnsi="Arial Narrow" w:cs="Arial"/>
          <w:sz w:val="22"/>
          <w:szCs w:val="22"/>
        </w:rPr>
      </w:pPr>
      <w:r w:rsidRPr="00387472">
        <w:rPr>
          <w:rFonts w:ascii="Arial Narrow" w:hAnsi="Arial Narrow" w:cs="Arial"/>
          <w:sz w:val="22"/>
          <w:szCs w:val="22"/>
        </w:rPr>
        <w:t xml:space="preserve">V prvom uvedenom prípade je predmet regulácie všeobecne záväzných nariadení zameraný najmä na problematiku správy obce a jej majetku. Takéto všeobecne záväzné nariadenia sú prvotnými, neodvodenými normatívnymi právnymi aktmi, ktorými možno regulovať aj tie právne vzťahy, ktoré sú doposiaľ inými právnymi predpismi neregulované. </w:t>
      </w:r>
    </w:p>
    <w:p w14:paraId="0D1A8871" w14:textId="77777777" w:rsidR="00387472" w:rsidRDefault="00387472" w:rsidP="00387472">
      <w:pPr>
        <w:jc w:val="both"/>
        <w:rPr>
          <w:rFonts w:ascii="Arial Narrow" w:hAnsi="Arial Narrow" w:cs="Arial"/>
          <w:sz w:val="22"/>
          <w:szCs w:val="22"/>
        </w:rPr>
      </w:pPr>
    </w:p>
    <w:p w14:paraId="4DF1128B" w14:textId="77777777" w:rsidR="00387472" w:rsidRDefault="00387472" w:rsidP="00387472">
      <w:pPr>
        <w:jc w:val="both"/>
        <w:rPr>
          <w:rFonts w:ascii="Arial Narrow" w:hAnsi="Arial Narrow" w:cs="Arial"/>
          <w:sz w:val="22"/>
          <w:szCs w:val="22"/>
        </w:rPr>
      </w:pPr>
      <w:r w:rsidRPr="00387472">
        <w:rPr>
          <w:rFonts w:ascii="Arial Narrow" w:hAnsi="Arial Narrow" w:cs="Arial"/>
          <w:b/>
          <w:sz w:val="22"/>
          <w:szCs w:val="22"/>
          <w:u w:val="single"/>
        </w:rPr>
        <w:t>Okruh vecí, ktoré môžu byť týmto druhom všeobecne záväzných nariadení obce regulované</w:t>
      </w:r>
      <w:r w:rsidRPr="00387472">
        <w:rPr>
          <w:rFonts w:ascii="Arial Narrow" w:hAnsi="Arial Narrow" w:cs="Arial"/>
          <w:sz w:val="22"/>
          <w:szCs w:val="22"/>
        </w:rPr>
        <w:t>, je stanovený zákonom o obecnom zriadení a </w:t>
      </w:r>
      <w:r w:rsidRPr="00387472">
        <w:rPr>
          <w:rFonts w:ascii="Arial Narrow" w:hAnsi="Arial Narrow" w:cs="Arial"/>
          <w:b/>
          <w:sz w:val="22"/>
          <w:szCs w:val="22"/>
        </w:rPr>
        <w:t>inými zákonmi.</w:t>
      </w:r>
      <w:r>
        <w:rPr>
          <w:rFonts w:ascii="Arial Narrow" w:hAnsi="Arial Narrow" w:cs="Arial"/>
          <w:b/>
          <w:sz w:val="22"/>
          <w:szCs w:val="22"/>
        </w:rPr>
        <w:t xml:space="preserve"> Takýmto zákonom je aj zákon č. 171/2005 Z.z. o hazardných hrách.</w:t>
      </w:r>
    </w:p>
    <w:p w14:paraId="346140E1" w14:textId="77777777" w:rsidR="00387472" w:rsidRDefault="00387472" w:rsidP="00387472">
      <w:pPr>
        <w:jc w:val="both"/>
        <w:rPr>
          <w:rFonts w:ascii="Arial Narrow" w:hAnsi="Arial Narrow" w:cs="Arial"/>
          <w:sz w:val="22"/>
          <w:szCs w:val="22"/>
        </w:rPr>
      </w:pPr>
      <w:r w:rsidRPr="00387472">
        <w:rPr>
          <w:rFonts w:ascii="Arial Narrow" w:hAnsi="Arial Narrow" w:cs="Arial"/>
          <w:sz w:val="22"/>
          <w:szCs w:val="22"/>
        </w:rPr>
        <w:br/>
        <w:t>Všeobecne záväzné nariadenia obce, ktoré sú vydané pri výkone jej samosprávnej pôsobnosti, nesmú byť v rozpore (a teda musia byť v súlade) s Ústavou Slovenskej republiky, ústavnými zákonmi, zákonmi a medzinárodnými zmluvami, s ktorými vyslovila súhlas Národná rada SR a ktoré boli ratifikované a vyhlásené spôsobom ustanoveným zákonom.</w:t>
      </w:r>
    </w:p>
    <w:p w14:paraId="1202BE2D" w14:textId="77777777" w:rsidR="00387472" w:rsidRPr="00387472" w:rsidRDefault="00387472" w:rsidP="00387472">
      <w:pPr>
        <w:jc w:val="both"/>
        <w:rPr>
          <w:rFonts w:ascii="Arial Narrow" w:hAnsi="Arial Narrow"/>
          <w:b/>
          <w:bCs/>
          <w:sz w:val="22"/>
          <w:szCs w:val="22"/>
        </w:rPr>
      </w:pPr>
      <w:r w:rsidRPr="00387472">
        <w:rPr>
          <w:rFonts w:ascii="Arial Narrow" w:hAnsi="Arial Narrow" w:cs="Arial"/>
          <w:sz w:val="22"/>
          <w:szCs w:val="22"/>
        </w:rPr>
        <w:br/>
        <w:t xml:space="preserve">Ak všeobecne záväzné nariadenie obce porušuje základné práva a slobody fyzických osôb a právnických osôb, môže </w:t>
      </w:r>
      <w:r>
        <w:rPr>
          <w:rFonts w:ascii="Arial Narrow" w:hAnsi="Arial Narrow" w:cs="Arial"/>
          <w:sz w:val="22"/>
          <w:szCs w:val="22"/>
        </w:rPr>
        <w:t xml:space="preserve">ktokoľvek </w:t>
      </w:r>
      <w:r w:rsidRPr="00387472">
        <w:rPr>
          <w:rFonts w:ascii="Arial Narrow" w:hAnsi="Arial Narrow" w:cs="Arial"/>
          <w:sz w:val="22"/>
          <w:szCs w:val="22"/>
        </w:rPr>
        <w:t>podať podnet na jeho zmenu alebo zrušenie príslušnému orgánu</w:t>
      </w:r>
      <w:r>
        <w:rPr>
          <w:rFonts w:ascii="Arial Narrow" w:hAnsi="Arial Narrow" w:cs="Arial"/>
          <w:sz w:val="22"/>
          <w:szCs w:val="22"/>
        </w:rPr>
        <w:t>, ktorým je prokurátor</w:t>
      </w:r>
      <w:r w:rsidRPr="00387472">
        <w:rPr>
          <w:rFonts w:ascii="Arial Narrow" w:hAnsi="Arial Narrow" w:cs="Arial"/>
          <w:sz w:val="22"/>
          <w:szCs w:val="22"/>
        </w:rPr>
        <w:t xml:space="preserve">. </w:t>
      </w:r>
      <w:r>
        <w:rPr>
          <w:rFonts w:ascii="Arial Narrow" w:hAnsi="Arial Narrow" w:cs="Arial"/>
          <w:sz w:val="22"/>
          <w:szCs w:val="22"/>
        </w:rPr>
        <w:t xml:space="preserve">Môže nastať situácia, kedy </w:t>
      </w:r>
      <w:r w:rsidRPr="00387472">
        <w:rPr>
          <w:rFonts w:ascii="Arial Narrow" w:hAnsi="Arial Narrow" w:cs="Arial"/>
          <w:sz w:val="22"/>
          <w:szCs w:val="22"/>
        </w:rPr>
        <w:t>všeobecne záväzné nariadenie síce neporuš</w:t>
      </w:r>
      <w:r>
        <w:rPr>
          <w:rFonts w:ascii="Arial Narrow" w:hAnsi="Arial Narrow" w:cs="Arial"/>
          <w:sz w:val="22"/>
          <w:szCs w:val="22"/>
        </w:rPr>
        <w:t>uje</w:t>
      </w:r>
      <w:r w:rsidRPr="00387472">
        <w:rPr>
          <w:rFonts w:ascii="Arial Narrow" w:hAnsi="Arial Narrow" w:cs="Arial"/>
          <w:sz w:val="22"/>
          <w:szCs w:val="22"/>
        </w:rPr>
        <w:t xml:space="preserve"> základné práva a slobody fyzických osôb a </w:t>
      </w:r>
      <w:r w:rsidRPr="00387472">
        <w:rPr>
          <w:rFonts w:ascii="Arial Narrow" w:hAnsi="Arial Narrow" w:cs="Arial"/>
          <w:sz w:val="22"/>
          <w:szCs w:val="22"/>
        </w:rPr>
        <w:lastRenderedPageBreak/>
        <w:t>právnických osôb, avšak nespĺňa</w:t>
      </w:r>
      <w:r>
        <w:rPr>
          <w:rFonts w:ascii="Arial Narrow" w:hAnsi="Arial Narrow" w:cs="Arial"/>
          <w:sz w:val="22"/>
          <w:szCs w:val="22"/>
        </w:rPr>
        <w:t xml:space="preserve"> </w:t>
      </w:r>
      <w:r w:rsidRPr="00387472">
        <w:rPr>
          <w:rFonts w:ascii="Arial Narrow" w:hAnsi="Arial Narrow" w:cs="Arial"/>
          <w:sz w:val="22"/>
          <w:szCs w:val="22"/>
        </w:rPr>
        <w:t>atribúty zákonnosti</w:t>
      </w:r>
      <w:r>
        <w:rPr>
          <w:rFonts w:ascii="Arial Narrow" w:hAnsi="Arial Narrow" w:cs="Arial"/>
          <w:sz w:val="22"/>
          <w:szCs w:val="22"/>
        </w:rPr>
        <w:t>, čo je taktiež zákonným dôvodom na jeho zrušenie alebo zmenu</w:t>
      </w:r>
      <w:r w:rsidRPr="00387472">
        <w:rPr>
          <w:rFonts w:ascii="Arial Narrow" w:hAnsi="Arial Narrow" w:cs="Arial"/>
          <w:sz w:val="22"/>
          <w:szCs w:val="22"/>
        </w:rPr>
        <w:t>.</w:t>
      </w:r>
    </w:p>
    <w:p w14:paraId="0E466DF0" w14:textId="77777777" w:rsidR="00387472" w:rsidRPr="00387472" w:rsidRDefault="00387472" w:rsidP="00387472">
      <w:pPr>
        <w:jc w:val="both"/>
        <w:rPr>
          <w:rFonts w:ascii="Arial Narrow" w:hAnsi="Arial Narrow"/>
          <w:b/>
          <w:bCs/>
          <w:sz w:val="22"/>
          <w:szCs w:val="22"/>
        </w:rPr>
      </w:pPr>
    </w:p>
    <w:p w14:paraId="3EF43C65" w14:textId="77777777" w:rsidR="00387472" w:rsidRDefault="00387472" w:rsidP="002A1EAA">
      <w:pPr>
        <w:rPr>
          <w:rFonts w:ascii="Arial Narrow" w:hAnsi="Arial Narrow"/>
          <w:b/>
          <w:bCs/>
          <w:sz w:val="22"/>
          <w:szCs w:val="22"/>
        </w:rPr>
      </w:pPr>
    </w:p>
    <w:p w14:paraId="3ABDCEFA" w14:textId="77777777" w:rsidR="002A1EAA" w:rsidRDefault="006901CD" w:rsidP="00387472">
      <w:pPr>
        <w:jc w:val="both"/>
        <w:rPr>
          <w:rFonts w:ascii="Arial Narrow" w:hAnsi="Arial Narrow"/>
          <w:b/>
          <w:bCs/>
          <w:sz w:val="22"/>
          <w:szCs w:val="22"/>
        </w:rPr>
      </w:pPr>
      <w:r>
        <w:rPr>
          <w:rFonts w:ascii="Arial Narrow" w:hAnsi="Arial Narrow"/>
          <w:b/>
          <w:bCs/>
          <w:sz w:val="22"/>
          <w:szCs w:val="22"/>
        </w:rPr>
        <w:t xml:space="preserve">A/ v zmysle zákona </w:t>
      </w:r>
      <w:r w:rsidR="00387472">
        <w:rPr>
          <w:rFonts w:ascii="Arial Narrow" w:hAnsi="Arial Narrow"/>
          <w:b/>
          <w:bCs/>
          <w:sz w:val="22"/>
          <w:szCs w:val="22"/>
        </w:rPr>
        <w:t xml:space="preserve">č. 171/2005 Z.z. o hazardných hrách predpokladom na prijatie VZN o zákaze prevádzkovania hazardných hier je splnenie zákonných podmienok uvedených v § 10 ods. 5 a 6 zákona. </w:t>
      </w:r>
    </w:p>
    <w:p w14:paraId="1EBA0FF5" w14:textId="77777777" w:rsidR="00387472" w:rsidRPr="00387472" w:rsidRDefault="00387472" w:rsidP="00387472">
      <w:pPr>
        <w:jc w:val="both"/>
        <w:rPr>
          <w:rFonts w:ascii="Arial Narrow" w:hAnsi="Arial Narrow"/>
          <w:bCs/>
          <w:sz w:val="22"/>
          <w:szCs w:val="22"/>
          <w:u w:val="single"/>
        </w:rPr>
      </w:pPr>
      <w:r w:rsidRPr="00387472">
        <w:rPr>
          <w:rFonts w:ascii="Arial Narrow" w:hAnsi="Arial Narrow"/>
          <w:bCs/>
          <w:sz w:val="22"/>
          <w:szCs w:val="22"/>
          <w:u w:val="single"/>
        </w:rPr>
        <w:t xml:space="preserve">Podmienky v zákone sú nasledovné : </w:t>
      </w:r>
    </w:p>
    <w:p w14:paraId="6302FA40" w14:textId="77777777" w:rsidR="0083344B" w:rsidRPr="00911E7F" w:rsidRDefault="0083344B" w:rsidP="0083344B">
      <w:pPr>
        <w:jc w:val="both"/>
        <w:rPr>
          <w:rFonts w:ascii="Arial Narrow" w:hAnsi="Arial Narrow"/>
          <w:sz w:val="20"/>
          <w:szCs w:val="20"/>
        </w:rPr>
      </w:pPr>
      <w:r w:rsidRPr="00D70425">
        <w:rPr>
          <w:rFonts w:ascii="Arial Narrow" w:hAnsi="Arial Narrow"/>
          <w:sz w:val="20"/>
          <w:szCs w:val="20"/>
          <w:highlight w:val="lightGray"/>
          <w:shd w:val="clear" w:color="auto" w:fill="D5D5D5"/>
        </w:rPr>
        <w:t>Obec</w:t>
      </w:r>
      <w:r w:rsidRPr="00D70425">
        <w:rPr>
          <w:rFonts w:ascii="Arial Narrow" w:hAnsi="Arial Narrow"/>
          <w:sz w:val="20"/>
          <w:szCs w:val="20"/>
          <w:highlight w:val="lightGray"/>
        </w:rPr>
        <w:br/>
      </w:r>
      <w:r w:rsidRPr="00D70425">
        <w:rPr>
          <w:rFonts w:ascii="Arial Narrow" w:hAnsi="Arial Narrow"/>
          <w:sz w:val="20"/>
          <w:szCs w:val="20"/>
          <w:highlight w:val="lightGray"/>
          <w:shd w:val="clear" w:color="auto" w:fill="D5D5D5"/>
        </w:rPr>
        <w:t>§ 10 ods. 5 písm. d) môže za podmienok podľa odseku 6 ustanoviť všeobecne záväzným nariadením, že hazardné hry podľa § 3 ods. 2 písm. b), d), e), a i) nie je možné prevádzkovať na jej území, pričom toto všeobecne záväzné nariadenie musí platiť na celom území obce a musí sa vzťahovať na všetky hazardné hry podľa § 3 ods. 2 písm. b), d), e) a i); na prevádzkovateľa hazardnej hry, ktorému bola udelená individuálna licencia na prevádzkovanie hazardnej hry pred nadobudnutím účinnosti všeobecne záväzného nariadenia, sa toto všeobecné záväzné nariadenie nevzťahuje do doby skončenia platnosti tejto individuálne licencie.</w:t>
      </w:r>
      <w:r w:rsidRPr="00D70425">
        <w:rPr>
          <w:rStyle w:val="apple-converted-space"/>
          <w:rFonts w:ascii="Arial Narrow" w:hAnsi="Arial Narrow"/>
          <w:sz w:val="20"/>
          <w:szCs w:val="20"/>
          <w:highlight w:val="lightGray"/>
          <w:shd w:val="clear" w:color="auto" w:fill="D5D5D5"/>
        </w:rPr>
        <w:t> </w:t>
      </w:r>
      <w:r w:rsidRPr="00D70425">
        <w:rPr>
          <w:rFonts w:ascii="Arial Narrow" w:hAnsi="Arial Narrow"/>
          <w:sz w:val="20"/>
          <w:szCs w:val="20"/>
          <w:highlight w:val="lightGray"/>
        </w:rPr>
        <w:br/>
      </w:r>
      <w:r w:rsidRPr="00D70425">
        <w:rPr>
          <w:rFonts w:ascii="Arial Narrow" w:hAnsi="Arial Narrow"/>
          <w:sz w:val="20"/>
          <w:szCs w:val="20"/>
          <w:highlight w:val="lightGray"/>
        </w:rPr>
        <w:br/>
      </w:r>
      <w:r w:rsidRPr="00D70425">
        <w:rPr>
          <w:rFonts w:ascii="Arial Narrow" w:hAnsi="Arial Narrow"/>
          <w:sz w:val="20"/>
          <w:szCs w:val="20"/>
          <w:highlight w:val="lightGray"/>
          <w:shd w:val="clear" w:color="auto" w:fill="D5D5D5"/>
        </w:rPr>
        <w:t xml:space="preserve">§ 10 ods. 6 Všeobecne záväzné nariadenie podľa odseku 5 písm. d) </w:t>
      </w:r>
      <w:r w:rsidRPr="00D70425">
        <w:rPr>
          <w:rFonts w:ascii="Arial Narrow" w:hAnsi="Arial Narrow"/>
          <w:b/>
          <w:sz w:val="20"/>
          <w:szCs w:val="20"/>
          <w:highlight w:val="lightGray"/>
          <w:u w:val="single"/>
          <w:shd w:val="clear" w:color="auto" w:fill="D5D5D5"/>
        </w:rPr>
        <w:t>môže obec vydať, ak sa obyvatelia obce petíciou sťažujú, že sa v obci narúša verejný poriadok v súvislosti s hraním hazardných hier</w:t>
      </w:r>
      <w:r w:rsidRPr="00D70425">
        <w:rPr>
          <w:rFonts w:ascii="Arial Narrow" w:hAnsi="Arial Narrow"/>
          <w:sz w:val="20"/>
          <w:szCs w:val="20"/>
          <w:highlight w:val="lightGray"/>
          <w:shd w:val="clear" w:color="auto" w:fill="D5D5D5"/>
        </w:rPr>
        <w:t xml:space="preserve">, </w:t>
      </w:r>
      <w:r w:rsidRPr="00D70425">
        <w:rPr>
          <w:rFonts w:ascii="Arial Narrow" w:hAnsi="Arial Narrow"/>
          <w:sz w:val="20"/>
          <w:szCs w:val="20"/>
          <w:highlight w:val="lightGray"/>
          <w:u w:val="single"/>
          <w:shd w:val="clear" w:color="auto" w:fill="D5D5D5"/>
        </w:rPr>
        <w:t>pričom takúto petíciu musí podporiť najmenej 30 % obyvateľov obce, ktorí dovŕšili 18 rokov veku</w:t>
      </w:r>
      <w:r w:rsidRPr="00D70425">
        <w:rPr>
          <w:rFonts w:ascii="Arial Narrow" w:hAnsi="Arial Narrow"/>
          <w:sz w:val="20"/>
          <w:szCs w:val="20"/>
          <w:highlight w:val="lightGray"/>
          <w:shd w:val="clear" w:color="auto" w:fill="D5D5D5"/>
        </w:rPr>
        <w:t>. Prijatie takéhoto všeobecne záväzného nariadenia obec oznámi bezodkladne ministerstvu s uvedením dátumu jeho účinnosti.</w:t>
      </w:r>
    </w:p>
    <w:p w14:paraId="044757B3" w14:textId="77777777" w:rsidR="00387472" w:rsidRDefault="00387472" w:rsidP="00387472">
      <w:pPr>
        <w:jc w:val="both"/>
        <w:rPr>
          <w:rFonts w:ascii="Arial Narrow" w:hAnsi="Arial Narrow"/>
          <w:b/>
          <w:bCs/>
          <w:sz w:val="22"/>
          <w:szCs w:val="22"/>
        </w:rPr>
      </w:pPr>
    </w:p>
    <w:p w14:paraId="3FFC1777" w14:textId="77777777" w:rsidR="002F5ED6" w:rsidRDefault="0083344B" w:rsidP="00387472">
      <w:pPr>
        <w:jc w:val="both"/>
        <w:rPr>
          <w:rFonts w:ascii="Arial Narrow" w:hAnsi="Arial Narrow"/>
          <w:bCs/>
          <w:sz w:val="22"/>
          <w:szCs w:val="22"/>
        </w:rPr>
      </w:pPr>
      <w:r w:rsidRPr="0083344B">
        <w:rPr>
          <w:rFonts w:ascii="Arial Narrow" w:hAnsi="Arial Narrow"/>
          <w:bCs/>
          <w:sz w:val="22"/>
          <w:szCs w:val="22"/>
        </w:rPr>
        <w:t xml:space="preserve">Takže prvým </w:t>
      </w:r>
      <w:r>
        <w:rPr>
          <w:rFonts w:ascii="Arial Narrow" w:hAnsi="Arial Narrow"/>
          <w:bCs/>
          <w:sz w:val="22"/>
          <w:szCs w:val="22"/>
        </w:rPr>
        <w:t xml:space="preserve">základným a zákonným </w:t>
      </w:r>
      <w:r w:rsidRPr="0083344B">
        <w:rPr>
          <w:rFonts w:ascii="Arial Narrow" w:hAnsi="Arial Narrow"/>
          <w:bCs/>
          <w:sz w:val="22"/>
          <w:szCs w:val="22"/>
        </w:rPr>
        <w:t>pre</w:t>
      </w:r>
      <w:r>
        <w:rPr>
          <w:rFonts w:ascii="Arial Narrow" w:hAnsi="Arial Narrow"/>
          <w:bCs/>
          <w:sz w:val="22"/>
          <w:szCs w:val="22"/>
        </w:rPr>
        <w:t>d</w:t>
      </w:r>
      <w:r w:rsidRPr="0083344B">
        <w:rPr>
          <w:rFonts w:ascii="Arial Narrow" w:hAnsi="Arial Narrow"/>
          <w:bCs/>
          <w:sz w:val="22"/>
          <w:szCs w:val="22"/>
        </w:rPr>
        <w:t xml:space="preserve">pokladom je </w:t>
      </w:r>
      <w:r>
        <w:rPr>
          <w:rFonts w:ascii="Arial Narrow" w:hAnsi="Arial Narrow"/>
          <w:bCs/>
          <w:sz w:val="22"/>
          <w:szCs w:val="22"/>
        </w:rPr>
        <w:t xml:space="preserve">narúšanie v obci verejného poriadku v súvislosti s hraním hazardných hier. Táto skutočnosť musí byť objektívne preukázaná a nielen tvrdená. Bez existencie preukázateľného narúšania verejného poriadku na území obce </w:t>
      </w:r>
      <w:r w:rsidR="002F5ED6">
        <w:rPr>
          <w:rFonts w:ascii="Arial Narrow" w:hAnsi="Arial Narrow"/>
          <w:bCs/>
          <w:sz w:val="22"/>
          <w:szCs w:val="22"/>
        </w:rPr>
        <w:t>v priamej príčinnej súvislosti s hraním hazardných hier, nie je možné vôbec pristúpiť k uplatneniu petičného práva občanov upraveného v zákone č. 85/1990 Zb.</w:t>
      </w:r>
    </w:p>
    <w:p w14:paraId="451CF4DD" w14:textId="77777777" w:rsidR="002F5ED6" w:rsidRDefault="002F5ED6" w:rsidP="00387472">
      <w:pPr>
        <w:jc w:val="both"/>
        <w:rPr>
          <w:rFonts w:ascii="Arial Narrow" w:hAnsi="Arial Narrow"/>
          <w:bCs/>
          <w:sz w:val="22"/>
          <w:szCs w:val="22"/>
        </w:rPr>
      </w:pPr>
    </w:p>
    <w:p w14:paraId="02EAAAD0" w14:textId="77777777" w:rsidR="002F5ED6" w:rsidRDefault="002F5ED6" w:rsidP="00387472">
      <w:pPr>
        <w:jc w:val="both"/>
        <w:rPr>
          <w:rFonts w:ascii="Arial Narrow" w:hAnsi="Arial Narrow"/>
          <w:bCs/>
          <w:sz w:val="22"/>
          <w:szCs w:val="22"/>
        </w:rPr>
      </w:pPr>
      <w:r>
        <w:rPr>
          <w:rFonts w:ascii="Arial Narrow" w:hAnsi="Arial Narrow"/>
          <w:bCs/>
          <w:sz w:val="22"/>
          <w:szCs w:val="22"/>
        </w:rPr>
        <w:t xml:space="preserve">Druhým predpokladom je realizácia petičného práva občanov. Až po preukázaní tohto prvého predpokladu môžu občania realizovať svoje ústavou garantované petičné právo, kde petícia musí byť podporená najmenej 30% obyvateľov obce, ktorí dovŕšili 18 rokov veku. Samotná petícia musí v petičnej otázke resp. vo svojom odôvodnení obsahovať skutočnosť, že je preukázané rušenie verejného poriadku v súvislosti s hraním hazardných hier. </w:t>
      </w:r>
    </w:p>
    <w:p w14:paraId="7FA7AFF2" w14:textId="77777777" w:rsidR="002F5ED6" w:rsidRDefault="002F5ED6" w:rsidP="00387472">
      <w:pPr>
        <w:jc w:val="both"/>
        <w:rPr>
          <w:rFonts w:ascii="Arial Narrow" w:hAnsi="Arial Narrow"/>
          <w:bCs/>
          <w:sz w:val="22"/>
          <w:szCs w:val="22"/>
        </w:rPr>
      </w:pPr>
    </w:p>
    <w:p w14:paraId="5F15D492" w14:textId="77777777" w:rsidR="00387472" w:rsidRPr="0083344B" w:rsidRDefault="002F5ED6" w:rsidP="00387472">
      <w:pPr>
        <w:jc w:val="both"/>
        <w:rPr>
          <w:rFonts w:ascii="Arial Narrow" w:hAnsi="Arial Narrow"/>
          <w:bCs/>
          <w:sz w:val="22"/>
          <w:szCs w:val="22"/>
        </w:rPr>
      </w:pPr>
      <w:r>
        <w:rPr>
          <w:rFonts w:ascii="Arial Narrow" w:hAnsi="Arial Narrow"/>
          <w:bCs/>
          <w:sz w:val="22"/>
          <w:szCs w:val="22"/>
        </w:rPr>
        <w:t xml:space="preserve">Naša spoločnosť má za to, že pokiaľ ide o petíciu,  ktorá je základom na vypracovanie návrhu VZN č. 60, ktorý sa má prejednávať dňa 10.12.2015 na zasadnutí MZ v Starej Ľubovni, tak táto nespĺňa podmienky definované v odseku 6 § 10 zákona o hazardných hrách, ktoré sme vyššie uviedli.  </w:t>
      </w:r>
      <w:r w:rsidR="0083344B">
        <w:rPr>
          <w:rFonts w:ascii="Arial Narrow" w:hAnsi="Arial Narrow"/>
          <w:bCs/>
          <w:sz w:val="22"/>
          <w:szCs w:val="22"/>
        </w:rPr>
        <w:t xml:space="preserve"> </w:t>
      </w:r>
    </w:p>
    <w:p w14:paraId="6388C6F8" w14:textId="77777777" w:rsidR="00387472" w:rsidRDefault="00387472" w:rsidP="00387472">
      <w:pPr>
        <w:jc w:val="both"/>
        <w:rPr>
          <w:rFonts w:ascii="Arial Narrow" w:hAnsi="Arial Narrow"/>
          <w:b/>
          <w:bCs/>
          <w:sz w:val="22"/>
          <w:szCs w:val="22"/>
        </w:rPr>
      </w:pPr>
    </w:p>
    <w:p w14:paraId="11460172" w14:textId="77777777" w:rsidR="00387472" w:rsidRDefault="00387472" w:rsidP="00387472">
      <w:pPr>
        <w:jc w:val="both"/>
        <w:rPr>
          <w:rFonts w:ascii="Arial Narrow" w:hAnsi="Arial Narrow"/>
          <w:b/>
          <w:bCs/>
          <w:sz w:val="22"/>
          <w:szCs w:val="22"/>
        </w:rPr>
      </w:pPr>
    </w:p>
    <w:p w14:paraId="45B234BA" w14:textId="77777777" w:rsidR="00D70425" w:rsidRDefault="00D70425" w:rsidP="00D70425">
      <w:pPr>
        <w:jc w:val="both"/>
        <w:rPr>
          <w:rFonts w:ascii="Arial Narrow" w:hAnsi="Arial Narrow"/>
          <w:b/>
          <w:bCs/>
          <w:sz w:val="22"/>
          <w:szCs w:val="22"/>
        </w:rPr>
      </w:pPr>
      <w:r>
        <w:rPr>
          <w:rFonts w:ascii="Arial Narrow" w:hAnsi="Arial Narrow"/>
          <w:b/>
          <w:bCs/>
          <w:sz w:val="22"/>
          <w:szCs w:val="22"/>
        </w:rPr>
        <w:t xml:space="preserve">B/ v zmysle zákona č. 89/1990 Z.z. o petičnom práve občanov platí, že a petícia neobsahuje žiadne nové skutočnosti, nie je možné opätovne ju prejednávať a rokovať o nej. Túto problematiku upravuje zákon č. 89/1990 Zb. v § 4 a 5 zákona. </w:t>
      </w:r>
    </w:p>
    <w:p w14:paraId="609D93E4" w14:textId="77777777" w:rsidR="00D70425" w:rsidRPr="00D70425" w:rsidRDefault="00D70425" w:rsidP="00D70425">
      <w:pPr>
        <w:pStyle w:val="NoSpacing"/>
        <w:jc w:val="both"/>
        <w:rPr>
          <w:rFonts w:ascii="Arial Narrow" w:hAnsi="Arial Narrow"/>
          <w:sz w:val="20"/>
          <w:szCs w:val="20"/>
          <w:highlight w:val="lightGray"/>
        </w:rPr>
      </w:pPr>
      <w:r w:rsidRPr="00D70425">
        <w:rPr>
          <w:rFonts w:ascii="Arial Narrow" w:hAnsi="Arial Narrow"/>
          <w:sz w:val="20"/>
          <w:szCs w:val="20"/>
          <w:highlight w:val="lightGray"/>
        </w:rPr>
        <w:t xml:space="preserve">§ 4 ods. (1) Každý má právo spôsobom neodporujúcim zákonu vyzývať iné osoby, aby svojím podpisom petíciu podporili. Fyzická osoba čitateľne uvedie svoje meno, priezvisko, adresu trvalého pobytu1) a k týmto údajom pripojí svoj podpis. Právnická osoba uvedie svoj názov a sídlo; osoba oprávnená konať v jej mene čitateľne uvedie svoje meno, priezvisko, adresu trvalého pobytu1) a k týmto údajom pripojí svoj podpis. </w:t>
      </w:r>
      <w:r w:rsidRPr="00D70425">
        <w:rPr>
          <w:rFonts w:ascii="Arial Narrow" w:hAnsi="Arial Narrow"/>
          <w:b/>
          <w:sz w:val="20"/>
          <w:szCs w:val="20"/>
          <w:highlight w:val="lightGray"/>
        </w:rPr>
        <w:t xml:space="preserve">Ak osobitný predpis1a) ustanovuje najnižší počet osôb podporujúcich petíciu alebo vek osôb podporujúcich petíciu, uvedie sa čitateľne k údajom o osobe podporujúcej petíciu aj dátum jej narodenia. </w:t>
      </w:r>
      <w:r w:rsidRPr="00D70425">
        <w:rPr>
          <w:rFonts w:ascii="Arial Narrow" w:hAnsi="Arial Narrow"/>
          <w:sz w:val="20"/>
          <w:szCs w:val="20"/>
          <w:highlight w:val="lightGray"/>
        </w:rPr>
        <w:t xml:space="preserve">Osobám podporujúcim petíciu sa musí umožniť, </w:t>
      </w:r>
      <w:r w:rsidRPr="00D70425">
        <w:rPr>
          <w:rFonts w:ascii="Arial Narrow" w:hAnsi="Arial Narrow"/>
          <w:b/>
          <w:sz w:val="20"/>
          <w:szCs w:val="20"/>
          <w:highlight w:val="lightGray"/>
          <w:u w:val="single"/>
        </w:rPr>
        <w:t>aby sa s obsahom petície riadne oboznámili</w:t>
      </w:r>
      <w:r w:rsidRPr="00D70425">
        <w:rPr>
          <w:rFonts w:ascii="Arial Narrow" w:hAnsi="Arial Narrow"/>
          <w:sz w:val="20"/>
          <w:szCs w:val="20"/>
          <w:highlight w:val="lightGray"/>
        </w:rPr>
        <w:t xml:space="preserve"> pred jej podpísaním.</w:t>
      </w:r>
      <w:r w:rsidRPr="00D70425">
        <w:rPr>
          <w:rFonts w:ascii="Arial Narrow" w:hAnsi="Arial Narrow"/>
          <w:sz w:val="20"/>
          <w:szCs w:val="20"/>
          <w:highlight w:val="lightGray"/>
        </w:rPr>
        <w:br/>
      </w:r>
      <w:r w:rsidRPr="00D70425">
        <w:rPr>
          <w:rFonts w:ascii="Arial Narrow" w:hAnsi="Arial Narrow"/>
          <w:sz w:val="20"/>
          <w:szCs w:val="20"/>
          <w:highlight w:val="lightGray"/>
        </w:rPr>
        <w:br/>
        <w:t>§ 4 ods. (6) Orgán verejnej správy neberie do úvahy podporu petície osobou, ktorá o sebe uviedla údaje nečitateľne alebo nepravdivo.</w:t>
      </w:r>
      <w:r w:rsidRPr="00D70425">
        <w:rPr>
          <w:rFonts w:ascii="Arial Narrow" w:hAnsi="Arial Narrow"/>
          <w:sz w:val="20"/>
          <w:szCs w:val="20"/>
          <w:highlight w:val="lightGray"/>
        </w:rPr>
        <w:br/>
      </w:r>
    </w:p>
    <w:p w14:paraId="183F873E" w14:textId="77777777" w:rsidR="00D70425" w:rsidRPr="00D70425" w:rsidRDefault="00D70425" w:rsidP="00D70425">
      <w:pPr>
        <w:pStyle w:val="NoSpacing"/>
        <w:jc w:val="both"/>
        <w:rPr>
          <w:rFonts w:ascii="Arial Narrow" w:hAnsi="Arial Narrow"/>
          <w:sz w:val="20"/>
          <w:szCs w:val="20"/>
        </w:rPr>
      </w:pPr>
      <w:r w:rsidRPr="00D70425">
        <w:rPr>
          <w:rFonts w:ascii="Arial Narrow" w:hAnsi="Arial Narrow"/>
          <w:sz w:val="20"/>
          <w:szCs w:val="20"/>
          <w:highlight w:val="lightGray"/>
        </w:rPr>
        <w:t>§ 5 ods. (1) Petícia musí byť písomná, označená slovom petícia a musí obsahovať predmet verejného alebo iného spoločného záujmu a údaje uvedené v § 4 ods. 1 o tom, kto ju podáva; ak petíciu podáva petičný výbor, uvedú sa údaje uvedené v § 4 ods. 1 o každom jeho členovi. Osoba určená na zastupovanie v styku s orgánom verejnej správy podľa § 3 ods. 3 alebo 4 pripojí v petícii k menu, priezvisku a adrese trvalého pobytu aj podpis.</w:t>
      </w:r>
      <w:r w:rsidRPr="00D70425">
        <w:rPr>
          <w:rFonts w:ascii="Arial Narrow" w:hAnsi="Arial Narrow"/>
          <w:sz w:val="20"/>
          <w:szCs w:val="20"/>
          <w:highlight w:val="lightGray"/>
        </w:rPr>
        <w:br/>
      </w:r>
      <w:r w:rsidRPr="00D70425">
        <w:rPr>
          <w:rFonts w:ascii="Arial Narrow" w:hAnsi="Arial Narrow"/>
          <w:sz w:val="20"/>
          <w:szCs w:val="20"/>
          <w:highlight w:val="lightGray"/>
        </w:rPr>
        <w:br/>
        <w:t>§ 5 ods. (6) Ak petícia podaná v tej istej veci neobsahuje nové skutočnosti, orgán verejnej správy oznámi osobám, ktoré petície podali, stanovisko a spôsob vybavenia pôvodnej petície. Pri hromadnom podávaní petícií tak môže urobiť v periodickej tlači a ostatných hromadných informačných prostriedkoch.</w:t>
      </w:r>
      <w:r w:rsidRPr="00D70425">
        <w:rPr>
          <w:rFonts w:ascii="Arial Narrow" w:hAnsi="Arial Narrow"/>
          <w:sz w:val="20"/>
          <w:szCs w:val="20"/>
          <w:highlight w:val="lightGray"/>
        </w:rPr>
        <w:br/>
      </w:r>
      <w:r w:rsidRPr="00D70425">
        <w:rPr>
          <w:rFonts w:ascii="Arial Narrow" w:hAnsi="Arial Narrow"/>
          <w:sz w:val="20"/>
          <w:szCs w:val="20"/>
          <w:highlight w:val="lightGray"/>
        </w:rPr>
        <w:lastRenderedPageBreak/>
        <w:br/>
        <w:t>§ 5 ods. (9) Ak je predmetom petície činnosť orgánov územnej samosprávy, jej poslancov alebo štatutárneho orgánu organizácie, ktorej zriaďovateľom je orgán územnej samosprávy, petíciu vybavuje príslušný orgán územnej samosprávy.</w:t>
      </w:r>
    </w:p>
    <w:p w14:paraId="58342133" w14:textId="77777777" w:rsidR="00387472" w:rsidRDefault="00387472" w:rsidP="00387472">
      <w:pPr>
        <w:jc w:val="both"/>
        <w:rPr>
          <w:rFonts w:ascii="Arial Narrow" w:hAnsi="Arial Narrow"/>
          <w:b/>
          <w:bCs/>
          <w:sz w:val="22"/>
          <w:szCs w:val="22"/>
        </w:rPr>
      </w:pPr>
    </w:p>
    <w:p w14:paraId="62EA8CE6" w14:textId="77777777" w:rsidR="00E35848" w:rsidRPr="004225BB" w:rsidRDefault="00E35848" w:rsidP="00387472">
      <w:pPr>
        <w:jc w:val="both"/>
        <w:rPr>
          <w:rFonts w:ascii="Arial Narrow" w:hAnsi="Arial Narrow"/>
          <w:b/>
          <w:bCs/>
          <w:sz w:val="22"/>
          <w:szCs w:val="22"/>
        </w:rPr>
      </w:pPr>
    </w:p>
    <w:p w14:paraId="5B2C388F" w14:textId="77777777" w:rsidR="004225BB" w:rsidRPr="004225BB" w:rsidRDefault="004225BB" w:rsidP="004225BB">
      <w:pPr>
        <w:pStyle w:val="NoSpacing"/>
        <w:jc w:val="both"/>
        <w:rPr>
          <w:rFonts w:ascii="Arial Narrow" w:hAnsi="Arial Narrow"/>
          <w:strike/>
          <w:sz w:val="22"/>
          <w:szCs w:val="22"/>
        </w:rPr>
      </w:pPr>
      <w:r w:rsidRPr="004225BB">
        <w:rPr>
          <w:rFonts w:ascii="Arial Narrow" w:hAnsi="Arial Narrow"/>
          <w:sz w:val="22"/>
          <w:szCs w:val="22"/>
        </w:rPr>
        <w:t xml:space="preserve">Už minulosti v priebehu roku 2013 sa uskutočnila v Meste Stará Ľubovňa petícia na zákaz prevádzkovania hazardných hier, kde táto bola vybavená tak, že návrh VZN o zákaze prevádzkovania niektorých hazardných hier nemalo MZ schváliť. Preto ak táto nová petícia v roku 2015 neobsahuje nové skutočnosti a nové dôkazy o narúšaní verejného poriadku v súvislosti s hraním hazardných hier, platí ustanovenie § 5 ods. 6 zákona č. 89/1990 Zb., kde orgán verejnej správy resp. podľa ods. 9 orgán územnej samosprávy oznámi osobám, ktoré podali petíciu, stanovisko a spôsob vybavenia pôvodnej petície. </w:t>
      </w:r>
    </w:p>
    <w:p w14:paraId="4A829A18" w14:textId="77777777" w:rsidR="00E35848" w:rsidRPr="004225BB" w:rsidRDefault="00E35848" w:rsidP="00387472">
      <w:pPr>
        <w:jc w:val="both"/>
        <w:rPr>
          <w:rFonts w:ascii="Arial Narrow" w:hAnsi="Arial Narrow"/>
          <w:b/>
          <w:bCs/>
          <w:sz w:val="22"/>
          <w:szCs w:val="22"/>
        </w:rPr>
      </w:pPr>
    </w:p>
    <w:p w14:paraId="0F5E63E3" w14:textId="77777777" w:rsidR="00387472" w:rsidRDefault="00387472" w:rsidP="00387472">
      <w:pPr>
        <w:jc w:val="both"/>
        <w:rPr>
          <w:rFonts w:ascii="Arial Narrow" w:hAnsi="Arial Narrow"/>
          <w:b/>
          <w:bCs/>
          <w:sz w:val="22"/>
          <w:szCs w:val="22"/>
        </w:rPr>
      </w:pPr>
    </w:p>
    <w:p w14:paraId="332AB4C9" w14:textId="77777777" w:rsidR="00E35848" w:rsidRPr="00E35848" w:rsidRDefault="00D70425" w:rsidP="00D70425">
      <w:pPr>
        <w:jc w:val="both"/>
        <w:rPr>
          <w:rFonts w:ascii="Arial Narrow" w:hAnsi="Arial Narrow"/>
          <w:bCs/>
          <w:sz w:val="22"/>
          <w:szCs w:val="22"/>
        </w:rPr>
      </w:pPr>
      <w:r w:rsidRPr="00E35848">
        <w:rPr>
          <w:rFonts w:ascii="Arial Narrow" w:hAnsi="Arial Narrow"/>
          <w:b/>
          <w:bCs/>
          <w:sz w:val="22"/>
          <w:szCs w:val="22"/>
        </w:rPr>
        <w:t xml:space="preserve">C/ v zmysle zákona č. 211/2000 Z.z. o slobodnom práve k informáciám sme požiadali dňa 26.11.2015 o poskytnutie informácií, ktoré podľa nás majú preukázať, či boli naplnené vyššie uvedené podmienky v bode A/ a B/, kde však zákonná lehota na vybavenie žiadosti </w:t>
      </w:r>
      <w:r w:rsidR="00E35848" w:rsidRPr="00E35848">
        <w:rPr>
          <w:rFonts w:ascii="Arial Narrow" w:hAnsi="Arial Narrow"/>
          <w:b/>
          <w:bCs/>
          <w:sz w:val="22"/>
          <w:szCs w:val="22"/>
        </w:rPr>
        <w:t xml:space="preserve">uvedená v § 17 a tá je bezodkladne resp. najneskôr do 8 pracovných dní odo dňa doručenia žiadosti. Je nesporné, že v čase kedy končí lehota na podávania pripomienok t.j. do 06.12.2015 nám tieto požadované informácie nebudú poskytnuté, pretože ešte neuplynie zákonná lehota na vybavenie </w:t>
      </w:r>
      <w:r w:rsidRPr="00E35848">
        <w:rPr>
          <w:rFonts w:ascii="Arial Narrow" w:hAnsi="Arial Narrow"/>
          <w:b/>
          <w:bCs/>
          <w:sz w:val="22"/>
          <w:szCs w:val="22"/>
        </w:rPr>
        <w:t>je n</w:t>
      </w:r>
      <w:r w:rsidR="00E35848" w:rsidRPr="00E35848">
        <w:rPr>
          <w:rFonts w:ascii="Arial Narrow" w:hAnsi="Arial Narrow"/>
          <w:b/>
          <w:bCs/>
          <w:sz w:val="22"/>
          <w:szCs w:val="22"/>
        </w:rPr>
        <w:t xml:space="preserve">ašej žiadosti o poskytnutie požadovaných informácií. </w:t>
      </w:r>
      <w:r w:rsidR="00E35848" w:rsidRPr="00E35848">
        <w:rPr>
          <w:rFonts w:ascii="Arial Narrow" w:hAnsi="Arial Narrow"/>
          <w:bCs/>
          <w:sz w:val="22"/>
          <w:szCs w:val="22"/>
        </w:rPr>
        <w:t xml:space="preserve">Predmetom žiadosti bolo: </w:t>
      </w:r>
    </w:p>
    <w:p w14:paraId="08665B24" w14:textId="77777777" w:rsidR="00E35848" w:rsidRDefault="00E35848" w:rsidP="00D70425">
      <w:pPr>
        <w:jc w:val="both"/>
        <w:rPr>
          <w:rFonts w:ascii="Arial Narrow" w:hAnsi="Arial Narrow"/>
          <w:b/>
          <w:bCs/>
          <w:sz w:val="22"/>
          <w:szCs w:val="22"/>
          <w:highlight w:val="yellow"/>
        </w:rPr>
      </w:pPr>
    </w:p>
    <w:p w14:paraId="59C31891" w14:textId="77777777" w:rsidR="00E35848" w:rsidRPr="00492A2A" w:rsidRDefault="00E35848" w:rsidP="00E35848">
      <w:pPr>
        <w:pStyle w:val="ListParagraph"/>
        <w:numPr>
          <w:ilvl w:val="0"/>
          <w:numId w:val="1"/>
        </w:numPr>
        <w:jc w:val="both"/>
        <w:rPr>
          <w:rFonts w:ascii="Arial Narrow" w:hAnsi="Arial Narrow"/>
          <w:b/>
          <w:bCs/>
          <w:sz w:val="22"/>
          <w:szCs w:val="22"/>
        </w:rPr>
      </w:pPr>
      <w:r w:rsidRPr="00834A25">
        <w:rPr>
          <w:rFonts w:ascii="Arial Narrow" w:hAnsi="Arial Narrow"/>
          <w:b/>
          <w:bCs/>
          <w:sz w:val="22"/>
          <w:szCs w:val="22"/>
        </w:rPr>
        <w:t>Zoznam všetkých petícií</w:t>
      </w:r>
      <w:r>
        <w:rPr>
          <w:rFonts w:ascii="Arial Narrow" w:hAnsi="Arial Narrow"/>
          <w:bCs/>
          <w:sz w:val="22"/>
          <w:szCs w:val="22"/>
        </w:rPr>
        <w:t xml:space="preserve"> doručených Mestskému úradu Stará Ľubovňa resp. Mestu Stará Ľubovňa v období rokov 2010 až do dňa podania tejto žiadosti </w:t>
      </w:r>
      <w:r w:rsidRPr="00834A25">
        <w:rPr>
          <w:rFonts w:ascii="Arial Narrow" w:hAnsi="Arial Narrow"/>
          <w:bCs/>
          <w:i/>
          <w:sz w:val="22"/>
          <w:szCs w:val="22"/>
          <w:u w:val="single"/>
        </w:rPr>
        <w:t>ohľadne zákazu prevádzkovania hazardných hier na území mesta Stará Ľubovňa podľa zákona č. 171/200</w:t>
      </w:r>
      <w:r>
        <w:rPr>
          <w:rFonts w:ascii="Arial Narrow" w:hAnsi="Arial Narrow"/>
          <w:bCs/>
          <w:i/>
          <w:sz w:val="22"/>
          <w:szCs w:val="22"/>
          <w:u w:val="single"/>
        </w:rPr>
        <w:t>5</w:t>
      </w:r>
      <w:r w:rsidRPr="00834A25">
        <w:rPr>
          <w:rFonts w:ascii="Arial Narrow" w:hAnsi="Arial Narrow"/>
          <w:bCs/>
          <w:i/>
          <w:sz w:val="22"/>
          <w:szCs w:val="22"/>
          <w:u w:val="single"/>
        </w:rPr>
        <w:t xml:space="preserve"> Z.z.</w:t>
      </w:r>
      <w:r>
        <w:rPr>
          <w:rFonts w:ascii="Arial Narrow" w:hAnsi="Arial Narrow"/>
          <w:bCs/>
          <w:sz w:val="22"/>
          <w:szCs w:val="22"/>
        </w:rPr>
        <w:t xml:space="preserve"> s </w:t>
      </w:r>
      <w:r w:rsidRPr="00834A25">
        <w:rPr>
          <w:rFonts w:ascii="Arial Narrow" w:hAnsi="Arial Narrow"/>
          <w:b/>
          <w:bCs/>
          <w:sz w:val="22"/>
          <w:szCs w:val="22"/>
        </w:rPr>
        <w:t xml:space="preserve">uvedením znenia </w:t>
      </w:r>
      <w:r w:rsidRPr="00492A2A">
        <w:rPr>
          <w:rFonts w:ascii="Arial Narrow" w:hAnsi="Arial Narrow"/>
          <w:b/>
          <w:bCs/>
          <w:sz w:val="22"/>
          <w:szCs w:val="22"/>
        </w:rPr>
        <w:t>každej petície, jej odôvodnenia, a kópie všetkých k petícii doložených petičných hárkov</w:t>
      </w:r>
    </w:p>
    <w:p w14:paraId="2C925E20" w14:textId="77777777" w:rsidR="00E35848" w:rsidRDefault="00E35848" w:rsidP="00E35848">
      <w:pPr>
        <w:pStyle w:val="ListParagraph"/>
        <w:numPr>
          <w:ilvl w:val="0"/>
          <w:numId w:val="1"/>
        </w:numPr>
        <w:jc w:val="both"/>
        <w:rPr>
          <w:rFonts w:ascii="Arial Narrow" w:hAnsi="Arial Narrow"/>
          <w:bCs/>
          <w:sz w:val="22"/>
          <w:szCs w:val="22"/>
        </w:rPr>
      </w:pPr>
      <w:r>
        <w:rPr>
          <w:rFonts w:ascii="Arial Narrow" w:hAnsi="Arial Narrow"/>
          <w:bCs/>
          <w:sz w:val="22"/>
          <w:szCs w:val="22"/>
        </w:rPr>
        <w:t xml:space="preserve">Zoznam prijatých uznesení mestského zastupiteľstva k v bode 1/ uvedeným a mestským zastupiteľstvom prejednaným petíciám, s výsledkami hlasovania poslancov MZ k uzneseniam MZ, </w:t>
      </w:r>
    </w:p>
    <w:p w14:paraId="0631B73D" w14:textId="77777777" w:rsidR="00E35848" w:rsidRPr="00492A2A" w:rsidRDefault="00E35848" w:rsidP="00E35848">
      <w:pPr>
        <w:pStyle w:val="ListParagraph"/>
        <w:numPr>
          <w:ilvl w:val="0"/>
          <w:numId w:val="1"/>
        </w:numPr>
        <w:jc w:val="both"/>
        <w:rPr>
          <w:rFonts w:ascii="Arial Narrow" w:hAnsi="Arial Narrow"/>
          <w:bCs/>
          <w:sz w:val="22"/>
          <w:szCs w:val="22"/>
        </w:rPr>
      </w:pPr>
      <w:r>
        <w:rPr>
          <w:rFonts w:ascii="Arial Narrow" w:hAnsi="Arial Narrow"/>
          <w:sz w:val="22"/>
          <w:szCs w:val="22"/>
        </w:rPr>
        <w:t>Zoznam hlásení resp. záznamov o výjazde mestskej polície v Starej Ľubovni</w:t>
      </w:r>
      <w:r w:rsidRPr="00492A2A">
        <w:rPr>
          <w:rFonts w:ascii="Arial Narrow" w:hAnsi="Arial Narrow"/>
          <w:sz w:val="22"/>
          <w:szCs w:val="22"/>
        </w:rPr>
        <w:t xml:space="preserve"> o výjazdoch </w:t>
      </w:r>
      <w:r>
        <w:rPr>
          <w:rFonts w:ascii="Arial Narrow" w:hAnsi="Arial Narrow"/>
          <w:sz w:val="22"/>
          <w:szCs w:val="22"/>
        </w:rPr>
        <w:t xml:space="preserve">k herniam v spojitosti s rušením verejného poriadku v meste Stará Ľubovňa v období </w:t>
      </w:r>
      <w:r w:rsidRPr="003D664C">
        <w:rPr>
          <w:rFonts w:ascii="Arial Narrow" w:hAnsi="Arial Narrow"/>
          <w:sz w:val="22"/>
          <w:szCs w:val="22"/>
        </w:rPr>
        <w:t>od 01.01.2013</w:t>
      </w:r>
      <w:r>
        <w:rPr>
          <w:rFonts w:ascii="Arial Narrow" w:hAnsi="Arial Narrow"/>
          <w:sz w:val="22"/>
          <w:szCs w:val="22"/>
        </w:rPr>
        <w:t xml:space="preserve"> až do dňa podania tejto žiadosti</w:t>
      </w:r>
    </w:p>
    <w:p w14:paraId="3C4F48D2" w14:textId="77777777" w:rsidR="00E35848" w:rsidRDefault="00E35848" w:rsidP="00D70425">
      <w:pPr>
        <w:jc w:val="both"/>
        <w:rPr>
          <w:rFonts w:ascii="Arial Narrow" w:hAnsi="Arial Narrow"/>
          <w:b/>
          <w:bCs/>
          <w:sz w:val="22"/>
          <w:szCs w:val="22"/>
          <w:highlight w:val="yellow"/>
        </w:rPr>
      </w:pPr>
    </w:p>
    <w:p w14:paraId="48A979D4" w14:textId="77777777" w:rsidR="00D70425" w:rsidRPr="00E35848" w:rsidRDefault="00E35848" w:rsidP="00D70425">
      <w:pPr>
        <w:jc w:val="both"/>
        <w:rPr>
          <w:rFonts w:ascii="Arial Narrow" w:hAnsi="Arial Narrow"/>
          <w:bCs/>
          <w:sz w:val="22"/>
          <w:szCs w:val="22"/>
        </w:rPr>
      </w:pPr>
      <w:r>
        <w:rPr>
          <w:rFonts w:ascii="Arial Narrow" w:hAnsi="Arial Narrow"/>
          <w:bCs/>
          <w:sz w:val="22"/>
          <w:szCs w:val="22"/>
        </w:rPr>
        <w:t xml:space="preserve">Preto neposkytnutím požadovaných informácií do času rokovania mestského zastupiteľstva dňa 10.12.2015 resp. do konca lehoty na pripomienkovanie návrhu VZN sa nám </w:t>
      </w:r>
      <w:r w:rsidR="00D70425" w:rsidRPr="00E35848">
        <w:rPr>
          <w:rFonts w:ascii="Arial Narrow" w:hAnsi="Arial Narrow"/>
          <w:bCs/>
          <w:sz w:val="22"/>
          <w:szCs w:val="22"/>
        </w:rPr>
        <w:t>uprie právo vstupovať do správy vecí verejných</w:t>
      </w:r>
      <w:r>
        <w:rPr>
          <w:rFonts w:ascii="Arial Narrow" w:hAnsi="Arial Narrow"/>
          <w:bCs/>
          <w:sz w:val="22"/>
          <w:szCs w:val="22"/>
        </w:rPr>
        <w:t>,</w:t>
      </w:r>
      <w:r w:rsidR="00D70425" w:rsidRPr="00E35848">
        <w:rPr>
          <w:rFonts w:ascii="Arial Narrow" w:hAnsi="Arial Narrow"/>
          <w:bCs/>
          <w:sz w:val="22"/>
          <w:szCs w:val="22"/>
        </w:rPr>
        <w:t xml:space="preserve"> pretože nie sú dané informácie, ktoré môžu preukázať či postup predchádzajúci schvaľovaniu návrhu VZN č. 60 bol v súlade s inými zákonmi a Ústavou SR. </w:t>
      </w:r>
    </w:p>
    <w:p w14:paraId="28B3962E" w14:textId="77777777" w:rsidR="00D70425" w:rsidRDefault="00D70425" w:rsidP="00D70425">
      <w:pPr>
        <w:jc w:val="both"/>
        <w:rPr>
          <w:rFonts w:ascii="Arial Narrow" w:hAnsi="Arial Narrow"/>
          <w:b/>
          <w:bCs/>
          <w:sz w:val="22"/>
          <w:szCs w:val="22"/>
        </w:rPr>
      </w:pPr>
    </w:p>
    <w:p w14:paraId="0C95263A" w14:textId="77777777" w:rsidR="00E35848" w:rsidRDefault="00E35848" w:rsidP="00D70425">
      <w:pPr>
        <w:jc w:val="both"/>
        <w:rPr>
          <w:rFonts w:ascii="Arial Narrow" w:hAnsi="Arial Narrow"/>
          <w:b/>
          <w:bCs/>
          <w:sz w:val="22"/>
          <w:szCs w:val="22"/>
        </w:rPr>
      </w:pPr>
    </w:p>
    <w:p w14:paraId="50E8256F" w14:textId="77777777" w:rsidR="00E35848" w:rsidRDefault="00E35848" w:rsidP="00D70425">
      <w:pPr>
        <w:jc w:val="both"/>
        <w:rPr>
          <w:rFonts w:ascii="Arial Narrow" w:hAnsi="Arial Narrow"/>
          <w:b/>
          <w:bCs/>
          <w:sz w:val="22"/>
          <w:szCs w:val="22"/>
        </w:rPr>
      </w:pPr>
      <w:r>
        <w:rPr>
          <w:rFonts w:ascii="Arial Narrow" w:hAnsi="Arial Narrow"/>
          <w:b/>
          <w:bCs/>
          <w:sz w:val="22"/>
          <w:szCs w:val="22"/>
        </w:rPr>
        <w:t xml:space="preserve">Záver : </w:t>
      </w:r>
    </w:p>
    <w:p w14:paraId="74F0ED29" w14:textId="77777777" w:rsidR="00D70425" w:rsidRPr="00E35848" w:rsidRDefault="00D70425" w:rsidP="00D70425">
      <w:pPr>
        <w:jc w:val="both"/>
        <w:rPr>
          <w:rFonts w:ascii="Arial Narrow" w:hAnsi="Arial Narrow"/>
          <w:b/>
          <w:bCs/>
          <w:sz w:val="22"/>
          <w:szCs w:val="22"/>
          <w:u w:val="single"/>
        </w:rPr>
      </w:pPr>
      <w:r w:rsidRPr="00E35848">
        <w:rPr>
          <w:rFonts w:ascii="Arial Narrow" w:hAnsi="Arial Narrow"/>
          <w:bCs/>
          <w:sz w:val="22"/>
          <w:szCs w:val="22"/>
        </w:rPr>
        <w:t xml:space="preserve">Preto navrhujeme, aby poslanci MZ na svojom zasadnutí konanom dňa 10.12.2015 </w:t>
      </w:r>
      <w:r w:rsidRPr="00E35848">
        <w:rPr>
          <w:rFonts w:ascii="Arial Narrow" w:hAnsi="Arial Narrow"/>
          <w:b/>
          <w:bCs/>
          <w:sz w:val="22"/>
          <w:szCs w:val="22"/>
          <w:u w:val="single"/>
        </w:rPr>
        <w:t>nerokovali o tomto návrhu VZN č. 60</w:t>
      </w:r>
      <w:r w:rsidR="00E35848" w:rsidRPr="00E35848">
        <w:rPr>
          <w:rFonts w:ascii="Arial Narrow" w:hAnsi="Arial Narrow"/>
          <w:b/>
          <w:bCs/>
          <w:sz w:val="22"/>
          <w:szCs w:val="22"/>
          <w:u w:val="single"/>
        </w:rPr>
        <w:t xml:space="preserve"> a tento návrh presunuli na iné neskoršie zasadnutie mestského zastupiteľstva</w:t>
      </w:r>
      <w:r w:rsidRPr="00E35848">
        <w:rPr>
          <w:rFonts w:ascii="Arial Narrow" w:hAnsi="Arial Narrow"/>
          <w:bCs/>
          <w:sz w:val="22"/>
          <w:szCs w:val="22"/>
        </w:rPr>
        <w:t xml:space="preserve">, pretože je potreba preverenia postupu predchádzajúcemu spísaniu petície a naplnenia zákonných podmienok uvedených v zákonoch č. 171/2005 Z.z. a 89/1990 Zb. resp. </w:t>
      </w:r>
      <w:r w:rsidRPr="00E35848">
        <w:rPr>
          <w:rFonts w:ascii="Arial Narrow" w:hAnsi="Arial Narrow"/>
          <w:b/>
          <w:bCs/>
          <w:sz w:val="22"/>
          <w:szCs w:val="22"/>
          <w:u w:val="single"/>
        </w:rPr>
        <w:t>navrhujeme, aby p</w:t>
      </w:r>
      <w:r w:rsidR="00E35848" w:rsidRPr="00E35848">
        <w:rPr>
          <w:rFonts w:ascii="Arial Narrow" w:hAnsi="Arial Narrow"/>
          <w:b/>
          <w:bCs/>
          <w:sz w:val="22"/>
          <w:szCs w:val="22"/>
          <w:u w:val="single"/>
        </w:rPr>
        <w:t>r</w:t>
      </w:r>
      <w:r w:rsidRPr="00E35848">
        <w:rPr>
          <w:rFonts w:ascii="Arial Narrow" w:hAnsi="Arial Narrow"/>
          <w:b/>
          <w:bCs/>
          <w:sz w:val="22"/>
          <w:szCs w:val="22"/>
          <w:u w:val="single"/>
        </w:rPr>
        <w:t xml:space="preserve">ijali uznesenie, že návrh VZN č. 60 neschvaľujú. </w:t>
      </w:r>
    </w:p>
    <w:p w14:paraId="59C735EE" w14:textId="77777777" w:rsidR="00D70425" w:rsidRDefault="00D70425" w:rsidP="00D70425">
      <w:pPr>
        <w:jc w:val="both"/>
        <w:rPr>
          <w:rFonts w:ascii="Arial Narrow" w:hAnsi="Arial Narrow"/>
          <w:b/>
          <w:bCs/>
          <w:sz w:val="22"/>
          <w:szCs w:val="22"/>
        </w:rPr>
      </w:pPr>
    </w:p>
    <w:p w14:paraId="4A6CC500" w14:textId="77777777" w:rsidR="00D70425" w:rsidRPr="00E35848" w:rsidRDefault="00D70425" w:rsidP="00D70425">
      <w:pPr>
        <w:jc w:val="both"/>
        <w:rPr>
          <w:rFonts w:ascii="Arial Narrow" w:hAnsi="Arial Narrow"/>
          <w:bCs/>
          <w:sz w:val="22"/>
          <w:szCs w:val="22"/>
        </w:rPr>
      </w:pPr>
      <w:r w:rsidRPr="00E35848">
        <w:rPr>
          <w:rFonts w:ascii="Arial Narrow" w:hAnsi="Arial Narrow"/>
          <w:bCs/>
          <w:sz w:val="22"/>
          <w:szCs w:val="22"/>
        </w:rPr>
        <w:t xml:space="preserve">Nakoniec chceme poukázať aj na neštandardný spôsob zverejnenia programu zasadnutia MZ konaného dňa 10.12.2015, kde nikde v bodoch programu nie je priamo uvedené, že sa bude rokovať o návrhu VZN č. 60 a je predpoklad, že tento návrh sa môže prejednávať iba pod bodom rôzne a to napriek tomu, že návrh iného VZN je priamo zakoncipovaný ako samostatný bod programu zasadnutia MZ, čo je dôkazom o netransparentnom postupe navrhovateľa resp. Mesta Stará Ľubovňa pri určovaní programu zasadnutia mestského zastupiteľstva. </w:t>
      </w:r>
      <w:r w:rsidR="004225BB">
        <w:rPr>
          <w:rFonts w:ascii="Arial Narrow" w:hAnsi="Arial Narrow"/>
          <w:bCs/>
          <w:sz w:val="22"/>
          <w:szCs w:val="22"/>
        </w:rPr>
        <w:t xml:space="preserve">Taktiež na webovej stránke mesta chýba k návrhu VZN dôvodová správa a konštatovanie o tom, koľko podpisov občanov podporilo petíciu, koľko z toho bolo platných hlasov a koľko nie. </w:t>
      </w:r>
      <w:r w:rsidRPr="00E35848">
        <w:rPr>
          <w:rFonts w:ascii="Arial Narrow" w:hAnsi="Arial Narrow"/>
          <w:bCs/>
          <w:sz w:val="22"/>
          <w:szCs w:val="22"/>
        </w:rPr>
        <w:t xml:space="preserve">  </w:t>
      </w:r>
    </w:p>
    <w:p w14:paraId="49CE6D29" w14:textId="77777777" w:rsidR="002A1EAA" w:rsidRDefault="002A1EAA" w:rsidP="002A1EAA">
      <w:pPr>
        <w:jc w:val="both"/>
        <w:rPr>
          <w:rFonts w:ascii="Arial Narrow" w:hAnsi="Arial Narrow"/>
          <w:sz w:val="22"/>
          <w:szCs w:val="22"/>
        </w:rPr>
      </w:pPr>
    </w:p>
    <w:p w14:paraId="0F3EA7C6" w14:textId="77777777" w:rsidR="004225BB" w:rsidRDefault="004225BB" w:rsidP="004225BB">
      <w:pPr>
        <w:jc w:val="both"/>
        <w:rPr>
          <w:rFonts w:ascii="Arial Narrow" w:hAnsi="Arial Narrow" w:cs="Arial"/>
          <w:sz w:val="22"/>
          <w:szCs w:val="22"/>
        </w:rPr>
      </w:pPr>
      <w:r>
        <w:rPr>
          <w:rFonts w:ascii="Arial Narrow" w:hAnsi="Arial Narrow"/>
          <w:sz w:val="22"/>
          <w:szCs w:val="22"/>
        </w:rPr>
        <w:t>Záverom chceme ešte raz poukázať na to, že z</w:t>
      </w:r>
      <w:r w:rsidRPr="00387472">
        <w:rPr>
          <w:rFonts w:ascii="Arial Narrow" w:hAnsi="Arial Narrow" w:cs="Arial"/>
          <w:sz w:val="22"/>
          <w:szCs w:val="22"/>
        </w:rPr>
        <w:t>o samotného textu Ústavy Slovenskej republiky, ako aj zo zá</w:t>
      </w:r>
      <w:r>
        <w:rPr>
          <w:rFonts w:ascii="Arial Narrow" w:hAnsi="Arial Narrow" w:cs="Arial"/>
          <w:sz w:val="22"/>
          <w:szCs w:val="22"/>
        </w:rPr>
        <w:t xml:space="preserve">kona o obecnom zriadení vyplýva, že prijímané všeobecne záväzné nariadenia musia byť vždy v súlade so zákonom </w:t>
      </w:r>
      <w:r>
        <w:rPr>
          <w:rFonts w:ascii="Arial Narrow" w:hAnsi="Arial Narrow" w:cs="Arial"/>
          <w:sz w:val="22"/>
          <w:szCs w:val="22"/>
        </w:rPr>
        <w:lastRenderedPageBreak/>
        <w:t xml:space="preserve">a Ústavou SR a ak to tak nie je, zakladá to pri vyslovení nezákonnosti všeobecne záväzného nariadenia obce právo aj na náhradu škody, ktorá takýmto nezákonným nariadením vznikne iným tretím osobám. </w:t>
      </w:r>
    </w:p>
    <w:p w14:paraId="71B6FD4A" w14:textId="77777777" w:rsidR="002A1EAA" w:rsidRDefault="002A1EAA" w:rsidP="002A1EAA">
      <w:pPr>
        <w:jc w:val="both"/>
        <w:rPr>
          <w:rFonts w:ascii="Arial Narrow" w:hAnsi="Arial Narrow"/>
          <w:sz w:val="22"/>
          <w:szCs w:val="22"/>
        </w:rPr>
      </w:pPr>
    </w:p>
    <w:p w14:paraId="14200017" w14:textId="77777777" w:rsidR="002A1EAA" w:rsidRDefault="002A1EAA" w:rsidP="002A1EAA">
      <w:pPr>
        <w:jc w:val="both"/>
        <w:rPr>
          <w:sz w:val="22"/>
          <w:szCs w:val="22"/>
        </w:rPr>
      </w:pPr>
    </w:p>
    <w:p w14:paraId="2AB01DBE" w14:textId="77777777" w:rsidR="00D609A1" w:rsidRPr="00FA3EA1" w:rsidRDefault="00D609A1" w:rsidP="002A1EAA">
      <w:pPr>
        <w:jc w:val="both"/>
        <w:rPr>
          <w:rFonts w:ascii="Arial Narrow" w:hAnsi="Arial Narrow"/>
          <w:sz w:val="22"/>
          <w:szCs w:val="22"/>
        </w:rPr>
      </w:pPr>
      <w:r w:rsidRPr="00FA3EA1">
        <w:rPr>
          <w:rFonts w:ascii="Arial Narrow" w:hAnsi="Arial Narrow"/>
          <w:sz w:val="22"/>
          <w:szCs w:val="22"/>
        </w:rPr>
        <w:tab/>
        <w:t>K týmto pripomienkam  sa pripájajú nasledovné obchodné spoločnosti, ktoré majú udelené individuálne licencie MFSR na prevdádzkovanie  hazardných hier v meste Stará Ľubovňa:</w:t>
      </w:r>
    </w:p>
    <w:p w14:paraId="4171BC05" w14:textId="77777777" w:rsidR="00D609A1" w:rsidRDefault="00D609A1" w:rsidP="002A1EAA">
      <w:pPr>
        <w:jc w:val="both"/>
        <w:rPr>
          <w:sz w:val="22"/>
          <w:szCs w:val="22"/>
        </w:rPr>
      </w:pPr>
    </w:p>
    <w:p w14:paraId="4346D5EC" w14:textId="77777777" w:rsidR="00FA3EA1" w:rsidRPr="00FA3EA1" w:rsidRDefault="00FA3EA1" w:rsidP="002A1EAA">
      <w:pPr>
        <w:jc w:val="both"/>
        <w:rPr>
          <w:sz w:val="22"/>
          <w:szCs w:val="22"/>
        </w:rPr>
      </w:pPr>
    </w:p>
    <w:p w14:paraId="0F898ADD" w14:textId="77777777" w:rsidR="00A47E1D" w:rsidRPr="00FA3EA1" w:rsidRDefault="00A47E1D" w:rsidP="002A1EAA">
      <w:pPr>
        <w:jc w:val="both"/>
        <w:rPr>
          <w:rFonts w:ascii="Arial Narrow" w:hAnsi="Arial Narrow"/>
          <w:sz w:val="22"/>
          <w:szCs w:val="22"/>
        </w:rPr>
      </w:pPr>
      <w:r w:rsidRPr="00FA3EA1">
        <w:rPr>
          <w:rFonts w:ascii="Arial Narrow" w:hAnsi="Arial Narrow"/>
          <w:sz w:val="22"/>
          <w:szCs w:val="22"/>
        </w:rPr>
        <w:t xml:space="preserve">- SYNOT TIP, a. s. </w:t>
      </w:r>
    </w:p>
    <w:p w14:paraId="2AA108BE" w14:textId="77777777" w:rsidR="00D609A1" w:rsidRPr="00FA3EA1" w:rsidRDefault="00D609A1" w:rsidP="002A1EAA">
      <w:pPr>
        <w:jc w:val="both"/>
        <w:rPr>
          <w:rFonts w:ascii="Arial Narrow" w:hAnsi="Arial Narrow"/>
          <w:sz w:val="22"/>
          <w:szCs w:val="22"/>
        </w:rPr>
      </w:pPr>
      <w:r w:rsidRPr="00FA3EA1">
        <w:rPr>
          <w:rFonts w:ascii="Arial Narrow" w:hAnsi="Arial Narrow"/>
          <w:sz w:val="22"/>
          <w:szCs w:val="22"/>
        </w:rPr>
        <w:t xml:space="preserve">- Ariola s. r. o. </w:t>
      </w:r>
    </w:p>
    <w:p w14:paraId="7ED92D4C" w14:textId="77777777" w:rsidR="00D609A1" w:rsidRPr="00FA3EA1" w:rsidRDefault="00D609A1" w:rsidP="002A1EAA">
      <w:pPr>
        <w:jc w:val="both"/>
        <w:rPr>
          <w:rFonts w:ascii="Arial Narrow" w:hAnsi="Arial Narrow"/>
          <w:sz w:val="22"/>
          <w:szCs w:val="22"/>
        </w:rPr>
      </w:pPr>
      <w:r w:rsidRPr="00FA3EA1">
        <w:rPr>
          <w:rFonts w:ascii="Arial Narrow" w:hAnsi="Arial Narrow"/>
          <w:sz w:val="22"/>
          <w:szCs w:val="22"/>
        </w:rPr>
        <w:t xml:space="preserve">- AG PLAY, s. r. o. </w:t>
      </w:r>
    </w:p>
    <w:p w14:paraId="6CABB95D" w14:textId="77777777" w:rsidR="002A1EAA" w:rsidRPr="00FA3EA1" w:rsidRDefault="00D609A1" w:rsidP="002A1EAA">
      <w:pPr>
        <w:jc w:val="both"/>
        <w:rPr>
          <w:rFonts w:ascii="Arial Narrow" w:hAnsi="Arial Narrow"/>
          <w:sz w:val="22"/>
          <w:szCs w:val="22"/>
        </w:rPr>
      </w:pPr>
      <w:r w:rsidRPr="00FA3EA1">
        <w:rPr>
          <w:rFonts w:ascii="Arial Narrow" w:hAnsi="Arial Narrow"/>
          <w:sz w:val="22"/>
          <w:szCs w:val="22"/>
        </w:rPr>
        <w:t>-</w:t>
      </w:r>
      <w:r w:rsidR="00A47E1D" w:rsidRPr="00FA3EA1">
        <w:rPr>
          <w:rFonts w:ascii="Arial Narrow" w:hAnsi="Arial Narrow"/>
          <w:sz w:val="22"/>
          <w:szCs w:val="22"/>
        </w:rPr>
        <w:t xml:space="preserve"> ASCOMP spol. s r. o.</w:t>
      </w:r>
    </w:p>
    <w:p w14:paraId="12F30F43" w14:textId="77777777" w:rsidR="00A47E1D" w:rsidRDefault="00A47E1D" w:rsidP="002A1EAA">
      <w:pPr>
        <w:jc w:val="both"/>
        <w:rPr>
          <w:sz w:val="22"/>
          <w:szCs w:val="22"/>
        </w:rPr>
      </w:pPr>
    </w:p>
    <w:p w14:paraId="119D352A" w14:textId="77777777" w:rsidR="00A47E1D" w:rsidRPr="00A47E1D" w:rsidRDefault="00A47E1D" w:rsidP="002A1EAA">
      <w:pPr>
        <w:jc w:val="both"/>
        <w:rPr>
          <w:sz w:val="22"/>
          <w:szCs w:val="22"/>
        </w:rPr>
      </w:pPr>
    </w:p>
    <w:p w14:paraId="570D4C18" w14:textId="77777777" w:rsidR="002A1EAA" w:rsidRDefault="002A1EAA" w:rsidP="002A1EAA">
      <w:pPr>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bookmarkStart w:id="0" w:name="_GoBack"/>
      <w:bookmarkEnd w:id="0"/>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Walhalla, s.r.o.</w:t>
      </w:r>
    </w:p>
    <w:p w14:paraId="342D2BA2" w14:textId="77777777" w:rsidR="002A1EAA" w:rsidRPr="00834A25" w:rsidRDefault="002A1EAA" w:rsidP="002A1EAA">
      <w:pPr>
        <w:jc w:val="both"/>
        <w:rPr>
          <w:rFonts w:ascii="Arial Narrow" w:hAnsi="Arial Narrow"/>
          <w:sz w:val="22"/>
          <w:szCs w:val="22"/>
        </w:rPr>
      </w:pP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r>
      <w:r>
        <w:rPr>
          <w:rFonts w:ascii="Arial Narrow" w:hAnsi="Arial Narrow"/>
          <w:sz w:val="22"/>
          <w:szCs w:val="22"/>
        </w:rPr>
        <w:tab/>
        <w:t xml:space="preserve">Zast. konateľom Ing. Alexandrom Chmelom </w:t>
      </w:r>
    </w:p>
    <w:p w14:paraId="43EFA371" w14:textId="77777777" w:rsidR="002A1EAA" w:rsidRDefault="002A1EAA" w:rsidP="007A2FCA">
      <w:pPr>
        <w:jc w:val="both"/>
        <w:rPr>
          <w:rFonts w:ascii="Arial Narrow" w:hAnsi="Arial Narrow"/>
          <w:sz w:val="22"/>
          <w:szCs w:val="22"/>
        </w:rPr>
      </w:pPr>
    </w:p>
    <w:p w14:paraId="5B5E0BBA" w14:textId="77777777" w:rsidR="00901E1E" w:rsidRDefault="00901E1E" w:rsidP="007A2FCA">
      <w:pPr>
        <w:jc w:val="both"/>
        <w:rPr>
          <w:rFonts w:ascii="Arial Narrow" w:hAnsi="Arial Narrow"/>
          <w:sz w:val="22"/>
          <w:szCs w:val="22"/>
        </w:rPr>
      </w:pPr>
    </w:p>
    <w:p w14:paraId="41F4CB11" w14:textId="77777777" w:rsidR="00901E1E" w:rsidRDefault="00901E1E" w:rsidP="007A2FCA">
      <w:pPr>
        <w:jc w:val="both"/>
        <w:rPr>
          <w:rFonts w:ascii="Arial Narrow" w:hAnsi="Arial Narrow"/>
          <w:sz w:val="22"/>
          <w:szCs w:val="22"/>
        </w:rPr>
      </w:pPr>
    </w:p>
    <w:p w14:paraId="671F259D" w14:textId="77777777" w:rsidR="00901E1E" w:rsidRDefault="00901E1E" w:rsidP="007A2FCA">
      <w:pPr>
        <w:jc w:val="both"/>
        <w:rPr>
          <w:sz w:val="22"/>
          <w:szCs w:val="22"/>
        </w:rPr>
      </w:pPr>
    </w:p>
    <w:p w14:paraId="30F2DB17" w14:textId="77777777" w:rsidR="00D609A1" w:rsidRDefault="00D609A1" w:rsidP="007A2FCA">
      <w:pPr>
        <w:jc w:val="both"/>
        <w:rPr>
          <w:sz w:val="22"/>
          <w:szCs w:val="22"/>
        </w:rPr>
      </w:pPr>
    </w:p>
    <w:p w14:paraId="6FCBE023" w14:textId="77777777" w:rsidR="00D609A1" w:rsidRDefault="00D609A1" w:rsidP="007A2FCA">
      <w:pPr>
        <w:jc w:val="both"/>
        <w:rPr>
          <w:sz w:val="22"/>
          <w:szCs w:val="22"/>
        </w:rPr>
      </w:pPr>
    </w:p>
    <w:p w14:paraId="7B62964C" w14:textId="77777777" w:rsidR="00D609A1" w:rsidRPr="00D609A1" w:rsidRDefault="00D609A1" w:rsidP="007A2FCA">
      <w:pPr>
        <w:jc w:val="both"/>
        <w:rPr>
          <w:sz w:val="22"/>
          <w:szCs w:val="22"/>
        </w:rPr>
      </w:pPr>
    </w:p>
    <w:sectPr w:rsidR="00D609A1" w:rsidRPr="00D609A1" w:rsidSect="002A3A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Narrow">
    <w:panose1 w:val="020B0506020202030204"/>
    <w:charset w:val="00"/>
    <w:family w:val="auto"/>
    <w:pitch w:val="variable"/>
    <w:sig w:usb0="00000287" w:usb1="00000800" w:usb2="00000000" w:usb3="00000000" w:csb0="0000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37113"/>
    <w:multiLevelType w:val="hybridMultilevel"/>
    <w:tmpl w:val="84427882"/>
    <w:lvl w:ilvl="0" w:tplc="D01E92D6">
      <w:numFmt w:val="bullet"/>
      <w:lvlText w:val="-"/>
      <w:lvlJc w:val="left"/>
      <w:pPr>
        <w:ind w:left="540" w:hanging="360"/>
      </w:pPr>
      <w:rPr>
        <w:rFonts w:ascii="Arial Narrow" w:eastAsia="Times New Roman" w:hAnsi="Arial Narrow" w:cs="Times New Roman" w:hint="default"/>
      </w:rPr>
    </w:lvl>
    <w:lvl w:ilvl="1" w:tplc="041B0003" w:tentative="1">
      <w:start w:val="1"/>
      <w:numFmt w:val="bullet"/>
      <w:lvlText w:val="o"/>
      <w:lvlJc w:val="left"/>
      <w:pPr>
        <w:ind w:left="1260" w:hanging="360"/>
      </w:pPr>
      <w:rPr>
        <w:rFonts w:ascii="Courier New" w:hAnsi="Courier New" w:cs="Courier New" w:hint="default"/>
      </w:rPr>
    </w:lvl>
    <w:lvl w:ilvl="2" w:tplc="041B0005" w:tentative="1">
      <w:start w:val="1"/>
      <w:numFmt w:val="bullet"/>
      <w:lvlText w:val=""/>
      <w:lvlJc w:val="left"/>
      <w:pPr>
        <w:ind w:left="1980" w:hanging="360"/>
      </w:pPr>
      <w:rPr>
        <w:rFonts w:ascii="Wingdings" w:hAnsi="Wingdings" w:hint="default"/>
      </w:rPr>
    </w:lvl>
    <w:lvl w:ilvl="3" w:tplc="041B0001" w:tentative="1">
      <w:start w:val="1"/>
      <w:numFmt w:val="bullet"/>
      <w:lvlText w:val=""/>
      <w:lvlJc w:val="left"/>
      <w:pPr>
        <w:ind w:left="2700" w:hanging="360"/>
      </w:pPr>
      <w:rPr>
        <w:rFonts w:ascii="Symbol" w:hAnsi="Symbol" w:hint="default"/>
      </w:rPr>
    </w:lvl>
    <w:lvl w:ilvl="4" w:tplc="041B0003" w:tentative="1">
      <w:start w:val="1"/>
      <w:numFmt w:val="bullet"/>
      <w:lvlText w:val="o"/>
      <w:lvlJc w:val="left"/>
      <w:pPr>
        <w:ind w:left="3420" w:hanging="360"/>
      </w:pPr>
      <w:rPr>
        <w:rFonts w:ascii="Courier New" w:hAnsi="Courier New" w:cs="Courier New" w:hint="default"/>
      </w:rPr>
    </w:lvl>
    <w:lvl w:ilvl="5" w:tplc="041B0005" w:tentative="1">
      <w:start w:val="1"/>
      <w:numFmt w:val="bullet"/>
      <w:lvlText w:val=""/>
      <w:lvlJc w:val="left"/>
      <w:pPr>
        <w:ind w:left="4140" w:hanging="360"/>
      </w:pPr>
      <w:rPr>
        <w:rFonts w:ascii="Wingdings" w:hAnsi="Wingdings" w:hint="default"/>
      </w:rPr>
    </w:lvl>
    <w:lvl w:ilvl="6" w:tplc="041B0001" w:tentative="1">
      <w:start w:val="1"/>
      <w:numFmt w:val="bullet"/>
      <w:lvlText w:val=""/>
      <w:lvlJc w:val="left"/>
      <w:pPr>
        <w:ind w:left="4860" w:hanging="360"/>
      </w:pPr>
      <w:rPr>
        <w:rFonts w:ascii="Symbol" w:hAnsi="Symbol" w:hint="default"/>
      </w:rPr>
    </w:lvl>
    <w:lvl w:ilvl="7" w:tplc="041B0003" w:tentative="1">
      <w:start w:val="1"/>
      <w:numFmt w:val="bullet"/>
      <w:lvlText w:val="o"/>
      <w:lvlJc w:val="left"/>
      <w:pPr>
        <w:ind w:left="5580" w:hanging="360"/>
      </w:pPr>
      <w:rPr>
        <w:rFonts w:ascii="Courier New" w:hAnsi="Courier New" w:cs="Courier New" w:hint="default"/>
      </w:rPr>
    </w:lvl>
    <w:lvl w:ilvl="8" w:tplc="041B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A25"/>
    <w:rsid w:val="00025E65"/>
    <w:rsid w:val="00026E8F"/>
    <w:rsid w:val="00030BF8"/>
    <w:rsid w:val="0013000D"/>
    <w:rsid w:val="0028539B"/>
    <w:rsid w:val="002A1EAA"/>
    <w:rsid w:val="002A3ABC"/>
    <w:rsid w:val="002F5ED6"/>
    <w:rsid w:val="00387472"/>
    <w:rsid w:val="003D664C"/>
    <w:rsid w:val="004225BB"/>
    <w:rsid w:val="00474918"/>
    <w:rsid w:val="00492A2A"/>
    <w:rsid w:val="006901CD"/>
    <w:rsid w:val="007A2FCA"/>
    <w:rsid w:val="0083344B"/>
    <w:rsid w:val="00834A25"/>
    <w:rsid w:val="00885023"/>
    <w:rsid w:val="008E4280"/>
    <w:rsid w:val="00901E1E"/>
    <w:rsid w:val="00934B20"/>
    <w:rsid w:val="00A47E1D"/>
    <w:rsid w:val="00A75C18"/>
    <w:rsid w:val="00BB3521"/>
    <w:rsid w:val="00D609A1"/>
    <w:rsid w:val="00D70425"/>
    <w:rsid w:val="00E35848"/>
    <w:rsid w:val="00FA3EA1"/>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4A4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A25"/>
    <w:pPr>
      <w:spacing w:after="0" w:line="240" w:lineRule="auto"/>
    </w:pPr>
    <w:rPr>
      <w:rFonts w:ascii="Times New Roman" w:eastAsia="Times New Roman" w:hAnsi="Times New Roman" w:cs="Times New Roman"/>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A25"/>
    <w:pPr>
      <w:ind w:left="720"/>
      <w:contextualSpacing/>
    </w:pPr>
  </w:style>
  <w:style w:type="character" w:styleId="Hyperlink">
    <w:name w:val="Hyperlink"/>
    <w:basedOn w:val="DefaultParagraphFont"/>
    <w:uiPriority w:val="99"/>
    <w:unhideWhenUsed/>
    <w:rsid w:val="003D664C"/>
    <w:rPr>
      <w:color w:val="0000FF" w:themeColor="hyperlink"/>
      <w:u w:val="single"/>
    </w:rPr>
  </w:style>
  <w:style w:type="character" w:customStyle="1" w:styleId="apple-converted-space">
    <w:name w:val="apple-converted-space"/>
    <w:basedOn w:val="DefaultParagraphFont"/>
    <w:rsid w:val="0083344B"/>
  </w:style>
  <w:style w:type="paragraph" w:customStyle="1" w:styleId="poznamka1">
    <w:name w:val="poznamka1"/>
    <w:basedOn w:val="Normal"/>
    <w:rsid w:val="00901E1E"/>
    <w:pPr>
      <w:shd w:val="clear" w:color="auto" w:fill="E6E6FA"/>
      <w:spacing w:before="100" w:beforeAutospacing="1" w:after="100" w:afterAutospacing="1" w:line="384" w:lineRule="auto"/>
    </w:pPr>
    <w:rPr>
      <w:i/>
      <w:iCs/>
    </w:rPr>
  </w:style>
  <w:style w:type="paragraph" w:styleId="NoSpacing">
    <w:name w:val="No Spacing"/>
    <w:uiPriority w:val="1"/>
    <w:qFormat/>
    <w:rsid w:val="00901E1E"/>
    <w:pPr>
      <w:spacing w:after="0"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A25"/>
    <w:pPr>
      <w:spacing w:after="0" w:line="240" w:lineRule="auto"/>
    </w:pPr>
    <w:rPr>
      <w:rFonts w:ascii="Times New Roman" w:eastAsia="Times New Roman" w:hAnsi="Times New Roman" w:cs="Times New Roman"/>
      <w:sz w:val="24"/>
      <w:szCs w:val="24"/>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A25"/>
    <w:pPr>
      <w:ind w:left="720"/>
      <w:contextualSpacing/>
    </w:pPr>
  </w:style>
  <w:style w:type="character" w:styleId="Hyperlink">
    <w:name w:val="Hyperlink"/>
    <w:basedOn w:val="DefaultParagraphFont"/>
    <w:uiPriority w:val="99"/>
    <w:unhideWhenUsed/>
    <w:rsid w:val="003D664C"/>
    <w:rPr>
      <w:color w:val="0000FF" w:themeColor="hyperlink"/>
      <w:u w:val="single"/>
    </w:rPr>
  </w:style>
  <w:style w:type="character" w:customStyle="1" w:styleId="apple-converted-space">
    <w:name w:val="apple-converted-space"/>
    <w:basedOn w:val="DefaultParagraphFont"/>
    <w:rsid w:val="0083344B"/>
  </w:style>
  <w:style w:type="paragraph" w:customStyle="1" w:styleId="poznamka1">
    <w:name w:val="poznamka1"/>
    <w:basedOn w:val="Normal"/>
    <w:rsid w:val="00901E1E"/>
    <w:pPr>
      <w:shd w:val="clear" w:color="auto" w:fill="E6E6FA"/>
      <w:spacing w:before="100" w:beforeAutospacing="1" w:after="100" w:afterAutospacing="1" w:line="384" w:lineRule="auto"/>
    </w:pPr>
    <w:rPr>
      <w:i/>
      <w:iCs/>
    </w:rPr>
  </w:style>
  <w:style w:type="paragraph" w:styleId="NoSpacing">
    <w:name w:val="No Spacing"/>
    <w:uiPriority w:val="1"/>
    <w:qFormat/>
    <w:rsid w:val="00901E1E"/>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2969525">
      <w:bodyDiv w:val="1"/>
      <w:marLeft w:val="0"/>
      <w:marRight w:val="0"/>
      <w:marTop w:val="0"/>
      <w:marBottom w:val="0"/>
      <w:divBdr>
        <w:top w:val="none" w:sz="0" w:space="0" w:color="auto"/>
        <w:left w:val="none" w:sz="0" w:space="0" w:color="auto"/>
        <w:bottom w:val="none" w:sz="0" w:space="0" w:color="auto"/>
        <w:right w:val="none" w:sz="0" w:space="0" w:color="auto"/>
      </w:divBdr>
    </w:div>
    <w:div w:id="1688554012">
      <w:bodyDiv w:val="1"/>
      <w:marLeft w:val="0"/>
      <w:marRight w:val="0"/>
      <w:marTop w:val="0"/>
      <w:marBottom w:val="0"/>
      <w:divBdr>
        <w:top w:val="none" w:sz="0" w:space="0" w:color="auto"/>
        <w:left w:val="none" w:sz="0" w:space="0" w:color="auto"/>
        <w:bottom w:val="none" w:sz="0" w:space="0" w:color="auto"/>
        <w:right w:val="none" w:sz="0" w:space="0" w:color="auto"/>
      </w:divBdr>
      <w:divsChild>
        <w:div w:id="273636581">
          <w:marLeft w:val="0"/>
          <w:marRight w:val="0"/>
          <w:marTop w:val="0"/>
          <w:marBottom w:val="0"/>
          <w:divBdr>
            <w:top w:val="none" w:sz="0" w:space="0" w:color="auto"/>
            <w:left w:val="none" w:sz="0" w:space="0" w:color="auto"/>
            <w:bottom w:val="none" w:sz="0" w:space="0" w:color="auto"/>
            <w:right w:val="none" w:sz="0" w:space="0" w:color="auto"/>
          </w:divBdr>
          <w:divsChild>
            <w:div w:id="1117522441">
              <w:marLeft w:val="0"/>
              <w:marRight w:val="0"/>
              <w:marTop w:val="0"/>
              <w:marBottom w:val="0"/>
              <w:divBdr>
                <w:top w:val="none" w:sz="0" w:space="0" w:color="auto"/>
                <w:left w:val="none" w:sz="0" w:space="0" w:color="auto"/>
                <w:bottom w:val="none" w:sz="0" w:space="0" w:color="auto"/>
                <w:right w:val="none" w:sz="0" w:space="0" w:color="auto"/>
              </w:divBdr>
              <w:divsChild>
                <w:div w:id="12567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BAA67E-B954-244A-9948-9035D2D78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1724</Words>
  <Characters>9830</Characters>
  <Application>Microsoft Macintosh Word</Application>
  <DocSecurity>0</DocSecurity>
  <Lines>81</Lines>
  <Paragraphs>23</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doma</dc:creator>
  <cp:keywords/>
  <dc:description/>
  <cp:lastModifiedBy>Alexander Chmel</cp:lastModifiedBy>
  <cp:revision>3</cp:revision>
  <dcterms:created xsi:type="dcterms:W3CDTF">2015-12-03T13:04:00Z</dcterms:created>
  <dcterms:modified xsi:type="dcterms:W3CDTF">2015-12-03T13:04:00Z</dcterms:modified>
</cp:coreProperties>
</file>