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6D" w:rsidRPr="008F6124" w:rsidRDefault="001C486D" w:rsidP="001C486D">
      <w:pPr>
        <w:spacing w:after="0"/>
      </w:pPr>
    </w:p>
    <w:p w:rsidR="001C486D" w:rsidRPr="00B8672D" w:rsidRDefault="001C486D" w:rsidP="001C486D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8672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Tabuľka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20 </w:t>
      </w:r>
      <w:r w:rsidRPr="00B8672D">
        <w:rPr>
          <w:rFonts w:ascii="Times New Roman" w:hAnsi="Times New Roman" w:cs="Times New Roman"/>
          <w:b/>
          <w:bCs/>
          <w:color w:val="000000"/>
          <w:sz w:val="20"/>
          <w:szCs w:val="20"/>
        </w:rPr>
        <w:t>Akčný plán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–</w:t>
      </w:r>
      <w:r w:rsidRPr="00B8672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priority, opatrenia, aktivity komunitného plánu sociálnych služieb</w:t>
      </w:r>
    </w:p>
    <w:tbl>
      <w:tblPr>
        <w:tblStyle w:val="Mriekatabuky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88"/>
        <w:gridCol w:w="5302"/>
        <w:gridCol w:w="1487"/>
        <w:gridCol w:w="1729"/>
      </w:tblGrid>
      <w:tr w:rsidR="001C486D" w:rsidTr="0092002F">
        <w:tc>
          <w:tcPr>
            <w:tcW w:w="1688" w:type="dxa"/>
            <w:shd w:val="clear" w:color="auto" w:fill="002060"/>
          </w:tcPr>
          <w:p w:rsidR="001C486D" w:rsidRPr="00582E50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Priorita 1 </w:t>
            </w:r>
          </w:p>
        </w:tc>
        <w:tc>
          <w:tcPr>
            <w:tcW w:w="5302" w:type="dxa"/>
            <w:shd w:val="clear" w:color="auto" w:fill="002060"/>
          </w:tcPr>
          <w:p w:rsidR="001C486D" w:rsidRPr="00582E50" w:rsidRDefault="001C486D" w:rsidP="0092002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zotrvania klienta v prirodzenom prostredí rozvojom terénnych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 komunitných </w:t>
            </w: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sociálnych služieb</w:t>
            </w:r>
          </w:p>
        </w:tc>
        <w:tc>
          <w:tcPr>
            <w:tcW w:w="1487" w:type="dxa"/>
            <w:shd w:val="clear" w:color="auto" w:fill="002060"/>
          </w:tcPr>
          <w:p w:rsidR="001C486D" w:rsidRPr="00582E50" w:rsidRDefault="001C486D" w:rsidP="00920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:rsidR="001C486D" w:rsidRPr="00582E50" w:rsidRDefault="001C486D" w:rsidP="0092002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Personálne, prevádzkové, finančné a organizačné podmienky</w:t>
            </w:r>
          </w:p>
        </w:tc>
      </w:tr>
      <w:tr w:rsidR="001C486D" w:rsidTr="0092002F">
        <w:tc>
          <w:tcPr>
            <w:tcW w:w="1688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1.1.</w:t>
            </w:r>
          </w:p>
        </w:tc>
        <w:tc>
          <w:tcPr>
            <w:tcW w:w="5302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Udržanie a skvalitnenie siete poskytovaných terénnych sociálnych služieb</w:t>
            </w:r>
          </w:p>
        </w:tc>
        <w:tc>
          <w:tcPr>
            <w:tcW w:w="1487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CC2E5" w:themeFill="accent1" w:themeFillTint="99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07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Zapojenie sa do Národného projektu Podpora opatrovateľskej služby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1.1.3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Zriadiť poskytovanie cenovo dostupnej odľahčovacej služby a iných podporných služieb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1.1.4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Zabezpečiť informovanosť o sociálnych službách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pomocou TSP, komunitných pracovníkov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informovať pomocou webovej stránky Mesta</w:t>
            </w:r>
          </w:p>
          <w:p w:rsidR="001C486D" w:rsidRPr="00FF4A7B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prostredníctvom médií</w:t>
            </w:r>
            <w:r w:rsidRPr="00FF4A7B">
              <w:rPr>
                <w:bCs/>
                <w:color w:val="000000"/>
              </w:rPr>
              <w:t xml:space="preserve"> 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rPr>
          <w:trHeight w:val="1707"/>
        </w:trPr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</w:t>
            </w: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dobrovoľníckej činnosti a práce svojpomocných skupín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Poskytovateľ Rozpočet mesta, granty</w:t>
            </w:r>
          </w:p>
        </w:tc>
      </w:tr>
      <w:tr w:rsidR="001C486D" w:rsidTr="0092002F">
        <w:tc>
          <w:tcPr>
            <w:tcW w:w="1688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1.2</w:t>
            </w:r>
          </w:p>
        </w:tc>
        <w:tc>
          <w:tcPr>
            <w:tcW w:w="5302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sz w:val="24"/>
                <w:szCs w:val="24"/>
              </w:rPr>
              <w:t>Rozšíriť sieť sociálnych služieb, zlepšiť ponuku, kvalitu a dostupnosť služieb pre jednotlivé sociálne skupiny</w:t>
            </w:r>
          </w:p>
        </w:tc>
        <w:tc>
          <w:tcPr>
            <w:tcW w:w="1487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1.2.1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Zriadiť zariadenie pre seniorov a ľudí odkázaných na pomoc inej osoby, dennou formou, nepretržitou formou a na prechodný čas, s možným využitím pre ľudí na zabezpečenie základných životných podmienok</w:t>
            </w:r>
          </w:p>
          <w:p w:rsidR="001C486D" w:rsidRPr="002B5F46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zabezpečenie projektovej dokumentácie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rekonštrukcia konkrétnej budovy</w:t>
            </w:r>
          </w:p>
          <w:p w:rsidR="001C486D" w:rsidRPr="002B5F46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registrácia denného centra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2017 - 2020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Rozpočet mesta, granty,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VÚC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 eur</w:t>
            </w:r>
          </w:p>
        </w:tc>
      </w:tr>
      <w:tr w:rsidR="001C486D" w:rsidTr="0092002F">
        <w:trPr>
          <w:trHeight w:val="1326"/>
        </w:trPr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1.2.2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poskytovateľov absentujúcich sociálnych služieb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Rozpočet mesta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rPr>
          <w:trHeight w:val="1699"/>
        </w:trPr>
        <w:tc>
          <w:tcPr>
            <w:tcW w:w="1688" w:type="dxa"/>
          </w:tcPr>
          <w:p w:rsidR="001C486D" w:rsidRPr="00BF1143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1.2.7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Zriadiť nízkoprahové zariadenie pre mládež spojené s komunitným centrom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vyčleniť pozemok a zapracovať do územného plánu</w:t>
            </w:r>
          </w:p>
          <w:p w:rsidR="001C486D" w:rsidRPr="00380174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zabezpečiť projektovú dokumentáciu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:rsidR="001C486D" w:rsidRPr="000E3CCB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0E3CCB">
              <w:rPr>
                <w:rFonts w:ascii="Times New Roman" w:hAnsi="Times New Roman" w:cs="Times New Roman"/>
                <w:bCs/>
                <w:color w:val="000000"/>
              </w:rPr>
              <w:t>Mesto Stará Ľubovňa Rozpočet Mesta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E3CCB">
              <w:rPr>
                <w:rFonts w:ascii="Times New Roman" w:hAnsi="Times New Roman" w:cs="Times New Roman"/>
                <w:bCs/>
                <w:color w:val="000000"/>
              </w:rPr>
              <w:t>Štrukturálne fondy</w:t>
            </w:r>
          </w:p>
        </w:tc>
        <w:bookmarkStart w:id="0" w:name="_GoBack"/>
        <w:bookmarkEnd w:id="0"/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1.2.8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Profesijný rast zamestnancov oddelenia sociálnych vecí a bytovej politiky, terénnych a komunitných pracovníkov. </w:t>
            </w:r>
          </w:p>
          <w:p w:rsidR="001C486D" w:rsidRPr="00C93C5E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účasť na vzdelávaní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Pr="00BF1143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02" w:type="dxa"/>
          </w:tcPr>
          <w:p w:rsidR="001C486D" w:rsidRPr="00B21651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CCB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Priorita 2</w:t>
            </w:r>
          </w:p>
        </w:tc>
        <w:tc>
          <w:tcPr>
            <w:tcW w:w="5302" w:type="dxa"/>
            <w:shd w:val="clear" w:color="auto" w:fill="002060"/>
          </w:tcPr>
          <w:p w:rsidR="001C486D" w:rsidRPr="000E3CCB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E77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Zlepšiť podmienky marginalizovaný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</w:t>
            </w:r>
            <w:r w:rsidRPr="00E77A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E3CCB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skupín obyvateľov pri začleňovaní do spoločnosti</w:t>
            </w:r>
          </w:p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Personálne, prevádzkové, finančné a organizačné podmienky</w:t>
            </w:r>
          </w:p>
        </w:tc>
      </w:tr>
      <w:tr w:rsidR="001C486D" w:rsidTr="0092002F">
        <w:tc>
          <w:tcPr>
            <w:tcW w:w="1688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2.2</w:t>
            </w:r>
          </w:p>
        </w:tc>
        <w:tc>
          <w:tcPr>
            <w:tcW w:w="5302" w:type="dxa"/>
            <w:shd w:val="clear" w:color="auto" w:fill="9CC2E5" w:themeFill="accent1" w:themeFillTint="99"/>
          </w:tcPr>
          <w:p w:rsidR="001C486D" w:rsidRPr="00934F96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F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Poskytovanie sociálnej pomoci a vyhľadávanie osôb ohrozených sociálnym vylúčením</w:t>
            </w:r>
          </w:p>
        </w:tc>
        <w:tc>
          <w:tcPr>
            <w:tcW w:w="1487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1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Zapojenie sa do národného projektu „Take away“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-    </w:t>
            </w: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Komunitné centrá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   </w:t>
            </w:r>
            <w:r w:rsidRPr="00DB00D8">
              <w:rPr>
                <w:rFonts w:ascii="Times New Roman" w:hAnsi="Times New Roman" w:cs="Times New Roman"/>
                <w:bCs/>
                <w:sz w:val="24"/>
                <w:szCs w:val="24"/>
              </w:rPr>
              <w:t>Terénna sociálna práca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Rómske občianske hliadky a iné projektové       aktivity ponúkané týmto projektom</w:t>
            </w:r>
          </w:p>
          <w:p w:rsidR="001C486D" w:rsidRPr="00DB00D8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:rsidR="001C486D" w:rsidRPr="00C93C5E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93C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Národný projekt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2.2.3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Zriadenie pracovnej skupiny: „Prevencia závislostí sociálno-patologických javov“</w:t>
            </w:r>
          </w:p>
          <w:p w:rsidR="001C486D" w:rsidRPr="003A5A03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vypracovanie spoločného programu prevencie všetkých zainteresovaných subjektov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ED7B81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2.2.4</w:t>
            </w:r>
          </w:p>
        </w:tc>
        <w:tc>
          <w:tcPr>
            <w:tcW w:w="5302" w:type="dxa"/>
          </w:tcPr>
          <w:p w:rsidR="001C486D" w:rsidRPr="00493DB9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3DB9">
              <w:rPr>
                <w:rFonts w:ascii="Times New Roman" w:hAnsi="Times New Roman" w:cs="Times New Roman"/>
                <w:bCs/>
                <w:sz w:val="24"/>
                <w:szCs w:val="24"/>
              </w:rPr>
              <w:t>Podpora aktívneho starnutia a integrácie fyzických osôb so zdravotným postihnutím do spoločnosti prostredníctvom rehabilitačných aktivít a bezplatného poradenstva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Aktivita 2.2.5     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Podpora talentovaných detí pomocou dostupných programov, štipendijných fondov</w:t>
            </w:r>
          </w:p>
          <w:p w:rsidR="001C486D" w:rsidRPr="00183F0C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vytvorenie fondu na podporu talentovaných detí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školy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2.2.6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Spracovávať individuálne plány pre prácu s rodinou, v ktorej sa vyskytujú sociálnopatologické javy, finančná negramotnosť, slabé hygienické návyky, zanedbávanie zdravotnej starostlivosti </w:t>
            </w:r>
          </w:p>
          <w:p w:rsidR="001C486D" w:rsidRPr="0056436A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vyhodnocovať výsledky práce (1x za 6 mesiacov)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(TSP)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ÚPSVaR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2.2.7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Pri vyššom počte problémových rodín Mesto zabezpečí pre prácu s rodinou akreditovaný subjekt</w:t>
            </w:r>
          </w:p>
          <w:p w:rsidR="001C486D" w:rsidRPr="005D0CFA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podpora rodín prostredníctvom výchovných a sociálnych programov 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2.2.8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Zapájanie detí zo znevýhodneného sociálneho prostredia  do aktivít a programov Mesta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Ľubovňa, školy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2.2.10</w:t>
            </w:r>
          </w:p>
        </w:tc>
        <w:tc>
          <w:tcPr>
            <w:tcW w:w="5302" w:type="dxa"/>
          </w:tcPr>
          <w:p w:rsidR="001C486D" w:rsidRPr="0039503B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Vyšpecifikovať pozemky (5 parciel) na výstavbu menších domov pre obyvateľov z rómskej komunity, ktorí si dokážu pozemok kúpiť a sami realizovať stavbu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2.2.11</w:t>
            </w:r>
          </w:p>
        </w:tc>
        <w:tc>
          <w:tcPr>
            <w:tcW w:w="5302" w:type="dxa"/>
          </w:tcPr>
          <w:p w:rsidR="001C486D" w:rsidRPr="0039503B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Pripraviť pozemky (5 parciel) na svojpomocnú výstavbu menších domov pre rómskych občanov, pripravovanú a spolufinancovanú ETP Slovensko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2.2.12</w:t>
            </w:r>
          </w:p>
        </w:tc>
        <w:tc>
          <w:tcPr>
            <w:tcW w:w="5302" w:type="dxa"/>
          </w:tcPr>
          <w:p w:rsidR="001C486D" w:rsidRPr="0039503B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Zabezpečiť podmienky pre zriadenie predškolského zariadenia ETP Slovensko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(v Podsadku)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>, financovan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1401B0">
              <w:rPr>
                <w:rFonts w:ascii="Times New Roman" w:hAnsi="Times New Roman" w:cs="Times New Roman"/>
                <w:sz w:val="24"/>
                <w:szCs w:val="24"/>
              </w:rPr>
              <w:t xml:space="preserve"> nadáciou VELUX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2016 - 2020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2.2.13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Rekonštrukcia a údržba domov, ktoré sú využívané na nájomné bývanie soc. znevýhodnených rodín</w:t>
            </w:r>
          </w:p>
          <w:p w:rsidR="001C486D" w:rsidRPr="0039503B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 Podsadek 117, SNP 16, SNP 17)</w:t>
            </w:r>
          </w:p>
        </w:tc>
        <w:tc>
          <w:tcPr>
            <w:tcW w:w="1487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2016 - 2020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Slobyterm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2.2.14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Spolupráca s cirkvami, občianskymi združeniami pri realizácii podporných projektov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0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Priorita 3</w:t>
            </w:r>
          </w:p>
        </w:tc>
        <w:tc>
          <w:tcPr>
            <w:tcW w:w="5302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4302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Rozvoj sociálnych služieb, riadenie, financovanie spolupráca a komunikácia v sociálnej oblasti</w:t>
            </w:r>
          </w:p>
        </w:tc>
        <w:tc>
          <w:tcPr>
            <w:tcW w:w="1487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Časový plán</w:t>
            </w:r>
          </w:p>
        </w:tc>
        <w:tc>
          <w:tcPr>
            <w:tcW w:w="1729" w:type="dxa"/>
            <w:shd w:val="clear" w:color="auto" w:fill="002060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82E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Personálne, prevádzkové, finančné a organizačné podmienky</w:t>
            </w:r>
          </w:p>
        </w:tc>
      </w:tr>
      <w:tr w:rsidR="001C486D" w:rsidTr="0092002F">
        <w:tc>
          <w:tcPr>
            <w:tcW w:w="1688" w:type="dxa"/>
            <w:shd w:val="clear" w:color="auto" w:fill="9CC2E5" w:themeFill="accent1" w:themeFillTint="99"/>
          </w:tcPr>
          <w:p w:rsidR="001C486D" w:rsidRPr="00274658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4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Opatrenie 3.3</w:t>
            </w:r>
          </w:p>
        </w:tc>
        <w:tc>
          <w:tcPr>
            <w:tcW w:w="5302" w:type="dxa"/>
            <w:shd w:val="clear" w:color="auto" w:fill="9CC2E5" w:themeFill="accent1" w:themeFillTint="99"/>
          </w:tcPr>
          <w:p w:rsidR="001C486D" w:rsidRPr="00274658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74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Skvalitnenie života obyvateľov mesta a zabezpečenie integrácie</w:t>
            </w:r>
          </w:p>
        </w:tc>
        <w:tc>
          <w:tcPr>
            <w:tcW w:w="1487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9CC2E5" w:themeFill="accent1" w:themeFillTint="99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Pravidelne vyčleňovať finančné krytie v Rozvojovom programe mesta na riešenie bezbariérovosti v meste 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kultúrny dom</w:t>
            </w:r>
          </w:p>
          <w:p w:rsidR="001C486D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školy</w:t>
            </w:r>
          </w:p>
          <w:p w:rsidR="001C486D" w:rsidRPr="00C93C5E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administratívna budova na Námestí gen. Štefánika 6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Poskytovateľ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3.3.2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Budovanie oddychových zón, športovísk, podpora kultúrnych podujatí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 Rozpočet Mesta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Aktivita 3.3.4</w:t>
            </w:r>
          </w:p>
        </w:tc>
        <w:tc>
          <w:tcPr>
            <w:tcW w:w="5302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Využívať potravinovú pomoc, burzy a bezodplatné darovanie vecí sociálne znevýhodneným občanom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Sieť poskytovateľov</w:t>
            </w: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3.3.5</w:t>
            </w:r>
          </w:p>
        </w:tc>
        <w:tc>
          <w:tcPr>
            <w:tcW w:w="5302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Ročne uskutočňovať monitoring plnenia Komunitného plánu sociálnych služieb</w:t>
            </w:r>
          </w:p>
          <w:p w:rsidR="001C486D" w:rsidRPr="0029161E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</w:t>
            </w:r>
            <w:r w:rsidRPr="0029161E">
              <w:rPr>
                <w:bCs/>
                <w:color w:val="000000"/>
              </w:rPr>
              <w:t>omisia</w:t>
            </w:r>
            <w:r>
              <w:rPr>
                <w:bCs/>
                <w:color w:val="000000"/>
              </w:rPr>
              <w:t xml:space="preserve"> soc. vecí, rodiny, bytovej politiky a zdravotníctva (k 31. januáru za predchádzajúci rok) predloží mestskému zastupiteľstvu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Mesto Stará Ľubovňa </w:t>
            </w:r>
          </w:p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486D" w:rsidTr="0092002F">
        <w:tc>
          <w:tcPr>
            <w:tcW w:w="1688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3.3.6</w:t>
            </w:r>
          </w:p>
        </w:tc>
        <w:tc>
          <w:tcPr>
            <w:tcW w:w="5302" w:type="dxa"/>
          </w:tcPr>
          <w:p w:rsidR="001C486D" w:rsidRPr="0029161E" w:rsidRDefault="001C486D" w:rsidP="0092002F">
            <w:pPr>
              <w:spacing w:line="276" w:lineRule="auto"/>
              <w:jc w:val="both"/>
              <w:rPr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Realizovať monitoring a zisťovanie potrieb sociálnych služieb</w:t>
            </w:r>
          </w:p>
        </w:tc>
        <w:tc>
          <w:tcPr>
            <w:tcW w:w="1487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</w:tcPr>
          <w:p w:rsidR="001C486D" w:rsidRPr="0077072F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Mesto Stará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3.3.8</w:t>
            </w:r>
          </w:p>
        </w:tc>
        <w:tc>
          <w:tcPr>
            <w:tcW w:w="5302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Doplnenie kamerového monitorovacieho systému na území mesta v záujme prevencie kriminality</w:t>
            </w:r>
          </w:p>
        </w:tc>
        <w:tc>
          <w:tcPr>
            <w:tcW w:w="1487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aždoročne</w:t>
            </w:r>
          </w:p>
        </w:tc>
        <w:tc>
          <w:tcPr>
            <w:tcW w:w="1729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Štrukturálne fondy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3.3.9</w:t>
            </w:r>
          </w:p>
        </w:tc>
        <w:tc>
          <w:tcPr>
            <w:tcW w:w="5302" w:type="dxa"/>
            <w:shd w:val="clear" w:color="auto" w:fill="auto"/>
          </w:tcPr>
          <w:p w:rsidR="001C486D" w:rsidRPr="00130A3E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A3E">
              <w:rPr>
                <w:rFonts w:ascii="Times New Roman" w:hAnsi="Times New Roman" w:cs="Times New Roman"/>
                <w:bCs/>
                <w:sz w:val="24"/>
                <w:szCs w:val="24"/>
              </w:rPr>
              <w:t>Zabezpeč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iť zľavnené vstupné na kultúrno-spoločenské a športové podujatia organizované Mestom pre občanov (držiteľov preukazu ŤZP)</w:t>
            </w:r>
          </w:p>
          <w:p w:rsidR="001C486D" w:rsidRPr="00DB00D8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729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3.3.10</w:t>
            </w:r>
          </w:p>
        </w:tc>
        <w:tc>
          <w:tcPr>
            <w:tcW w:w="5302" w:type="dxa"/>
            <w:shd w:val="clear" w:color="auto" w:fill="auto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Podpora chránených dielní</w:t>
            </w:r>
          </w:p>
          <w:p w:rsidR="001C486D" w:rsidRPr="00493DB9" w:rsidRDefault="001C486D" w:rsidP="001C486D">
            <w:pPr>
              <w:pStyle w:val="Odsekzoznamu"/>
              <w:numPr>
                <w:ilvl w:val="0"/>
                <w:numId w:val="1"/>
              </w:numPr>
              <w:spacing w:line="276" w:lineRule="auto"/>
              <w:jc w:val="both"/>
            </w:pPr>
            <w:r>
              <w:t>zakúpenie tovarov a služieb chránenej dielne</w:t>
            </w:r>
          </w:p>
        </w:tc>
        <w:tc>
          <w:tcPr>
            <w:tcW w:w="1487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</w:tr>
      <w:tr w:rsidR="001C486D" w:rsidTr="0092002F">
        <w:tc>
          <w:tcPr>
            <w:tcW w:w="1688" w:type="dxa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Aktivita 3.3.12</w:t>
            </w:r>
          </w:p>
        </w:tc>
        <w:tc>
          <w:tcPr>
            <w:tcW w:w="5302" w:type="dxa"/>
            <w:shd w:val="clear" w:color="auto" w:fill="auto"/>
          </w:tcPr>
          <w:p w:rsidR="001C486D" w:rsidRDefault="001C486D" w:rsidP="0092002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DB9">
              <w:rPr>
                <w:rFonts w:ascii="Times New Roman" w:hAnsi="Times New Roman" w:cs="Times New Roman"/>
                <w:bCs/>
                <w:sz w:val="24"/>
                <w:szCs w:val="24"/>
              </w:rPr>
              <w:t>Podpora aktívneho starnutia a integrácie fyzických osôb so zdravotným postihnutím do spoločnosti prostredníctvom rehabilitačných aktivít a bezplatného poradenstva</w:t>
            </w:r>
          </w:p>
        </w:tc>
        <w:tc>
          <w:tcPr>
            <w:tcW w:w="1487" w:type="dxa"/>
            <w:shd w:val="clear" w:color="auto" w:fill="auto"/>
          </w:tcPr>
          <w:p w:rsidR="001C486D" w:rsidRDefault="001C486D" w:rsidP="0092002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Počas celej doby realizácie KP</w:t>
            </w:r>
          </w:p>
        </w:tc>
        <w:tc>
          <w:tcPr>
            <w:tcW w:w="1729" w:type="dxa"/>
            <w:shd w:val="clear" w:color="auto" w:fill="auto"/>
          </w:tcPr>
          <w:p w:rsidR="001C486D" w:rsidRPr="003B199A" w:rsidRDefault="001C486D" w:rsidP="0092002F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Mesto 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tará Ľubovňa</w:t>
            </w:r>
          </w:p>
        </w:tc>
      </w:tr>
    </w:tbl>
    <w:p w:rsidR="001C486D" w:rsidRDefault="001C486D" w:rsidP="001C486D">
      <w:pPr>
        <w:pStyle w:val="Nadpis2"/>
        <w:numPr>
          <w:ilvl w:val="0"/>
          <w:numId w:val="0"/>
        </w:numPr>
      </w:pPr>
      <w:bookmarkStart w:id="1" w:name="_Toc258493005"/>
      <w:bookmarkStart w:id="2" w:name="_Toc258493689"/>
      <w:bookmarkStart w:id="3" w:name="_Toc258493731"/>
    </w:p>
    <w:p w:rsidR="001C486D" w:rsidRDefault="001C486D" w:rsidP="001C486D">
      <w:pPr>
        <w:rPr>
          <w:rFonts w:ascii="Times New Roman" w:eastAsia="Calibri" w:hAnsi="Times New Roman" w:cs="Arial"/>
          <w:b/>
          <w:bCs/>
          <w:iCs/>
          <w:sz w:val="28"/>
          <w:szCs w:val="28"/>
          <w:lang w:eastAsia="sk-SK"/>
        </w:rPr>
      </w:pPr>
      <w:r>
        <w:br w:type="page"/>
      </w:r>
    </w:p>
    <w:bookmarkEnd w:id="1"/>
    <w:bookmarkEnd w:id="2"/>
    <w:bookmarkEnd w:id="3"/>
    <w:p w:rsidR="001C486D" w:rsidRPr="00DA1689" w:rsidRDefault="001C486D" w:rsidP="001C486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C62CF" w:rsidRDefault="00BC62CF"/>
    <w:sectPr w:rsidR="00BC62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B73" w:rsidRDefault="00030B73" w:rsidP="001C486D">
      <w:pPr>
        <w:spacing w:after="0" w:line="240" w:lineRule="auto"/>
      </w:pPr>
      <w:r>
        <w:separator/>
      </w:r>
    </w:p>
  </w:endnote>
  <w:endnote w:type="continuationSeparator" w:id="0">
    <w:p w:rsidR="00030B73" w:rsidRDefault="00030B73" w:rsidP="001C4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B73" w:rsidRDefault="00030B73" w:rsidP="001C486D">
      <w:pPr>
        <w:spacing w:after="0" w:line="240" w:lineRule="auto"/>
      </w:pPr>
      <w:r>
        <w:separator/>
      </w:r>
    </w:p>
  </w:footnote>
  <w:footnote w:type="continuationSeparator" w:id="0">
    <w:p w:rsidR="00030B73" w:rsidRDefault="00030B73" w:rsidP="001C4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163544"/>
      <w:docPartObj>
        <w:docPartGallery w:val="Page Numbers (Top of Page)"/>
        <w:docPartUnique/>
      </w:docPartObj>
    </w:sdtPr>
    <w:sdtContent>
      <w:p w:rsidR="001C486D" w:rsidRDefault="001C486D">
        <w:pPr>
          <w:pStyle w:val="Hlavi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5BC">
          <w:rPr>
            <w:noProof/>
          </w:rPr>
          <w:t>2</w:t>
        </w:r>
        <w:r>
          <w:fldChar w:fldCharType="end"/>
        </w:r>
      </w:p>
    </w:sdtContent>
  </w:sdt>
  <w:p w:rsidR="001C486D" w:rsidRDefault="001C486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A4213"/>
    <w:multiLevelType w:val="hybridMultilevel"/>
    <w:tmpl w:val="7B862422"/>
    <w:lvl w:ilvl="0" w:tplc="AC7EC9B2">
      <w:start w:val="1"/>
      <w:numFmt w:val="decimal"/>
      <w:pStyle w:val="Nadpis2"/>
      <w:lvlText w:val="%1"/>
      <w:lvlJc w:val="left"/>
      <w:pPr>
        <w:ind w:left="367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3348" w:hanging="360"/>
      </w:pPr>
    </w:lvl>
    <w:lvl w:ilvl="2" w:tplc="041B001B" w:tentative="1">
      <w:start w:val="1"/>
      <w:numFmt w:val="lowerRoman"/>
      <w:lvlText w:val="%3."/>
      <w:lvlJc w:val="right"/>
      <w:pPr>
        <w:ind w:left="4068" w:hanging="180"/>
      </w:pPr>
    </w:lvl>
    <w:lvl w:ilvl="3" w:tplc="041B000F" w:tentative="1">
      <w:start w:val="1"/>
      <w:numFmt w:val="decimal"/>
      <w:lvlText w:val="%4."/>
      <w:lvlJc w:val="left"/>
      <w:pPr>
        <w:ind w:left="4788" w:hanging="360"/>
      </w:pPr>
    </w:lvl>
    <w:lvl w:ilvl="4" w:tplc="041B0019" w:tentative="1">
      <w:start w:val="1"/>
      <w:numFmt w:val="lowerLetter"/>
      <w:lvlText w:val="%5."/>
      <w:lvlJc w:val="left"/>
      <w:pPr>
        <w:ind w:left="5508" w:hanging="360"/>
      </w:pPr>
    </w:lvl>
    <w:lvl w:ilvl="5" w:tplc="041B001B" w:tentative="1">
      <w:start w:val="1"/>
      <w:numFmt w:val="lowerRoman"/>
      <w:lvlText w:val="%6."/>
      <w:lvlJc w:val="right"/>
      <w:pPr>
        <w:ind w:left="6228" w:hanging="180"/>
      </w:pPr>
    </w:lvl>
    <w:lvl w:ilvl="6" w:tplc="041B000F" w:tentative="1">
      <w:start w:val="1"/>
      <w:numFmt w:val="decimal"/>
      <w:lvlText w:val="%7."/>
      <w:lvlJc w:val="left"/>
      <w:pPr>
        <w:ind w:left="6948" w:hanging="360"/>
      </w:pPr>
    </w:lvl>
    <w:lvl w:ilvl="7" w:tplc="041B0019" w:tentative="1">
      <w:start w:val="1"/>
      <w:numFmt w:val="lowerLetter"/>
      <w:lvlText w:val="%8."/>
      <w:lvlJc w:val="left"/>
      <w:pPr>
        <w:ind w:left="7668" w:hanging="360"/>
      </w:pPr>
    </w:lvl>
    <w:lvl w:ilvl="8" w:tplc="041B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F58313F"/>
    <w:multiLevelType w:val="hybridMultilevel"/>
    <w:tmpl w:val="D3527FB6"/>
    <w:lvl w:ilvl="0" w:tplc="040EE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B7414"/>
    <w:multiLevelType w:val="hybridMultilevel"/>
    <w:tmpl w:val="0B6A4834"/>
    <w:lvl w:ilvl="0" w:tplc="B106CC08">
      <w:start w:val="7"/>
      <w:numFmt w:val="decimal"/>
      <w:lvlText w:val="%1"/>
      <w:lvlJc w:val="left"/>
      <w:pPr>
        <w:ind w:left="77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8812" w:hanging="360"/>
      </w:pPr>
    </w:lvl>
    <w:lvl w:ilvl="2" w:tplc="041B001B" w:tentative="1">
      <w:start w:val="1"/>
      <w:numFmt w:val="lowerRoman"/>
      <w:lvlText w:val="%3."/>
      <w:lvlJc w:val="right"/>
      <w:pPr>
        <w:ind w:left="9532" w:hanging="180"/>
      </w:pPr>
    </w:lvl>
    <w:lvl w:ilvl="3" w:tplc="041B000F" w:tentative="1">
      <w:start w:val="1"/>
      <w:numFmt w:val="decimal"/>
      <w:lvlText w:val="%4."/>
      <w:lvlJc w:val="left"/>
      <w:pPr>
        <w:ind w:left="10252" w:hanging="360"/>
      </w:pPr>
    </w:lvl>
    <w:lvl w:ilvl="4" w:tplc="041B0019" w:tentative="1">
      <w:start w:val="1"/>
      <w:numFmt w:val="lowerLetter"/>
      <w:lvlText w:val="%5."/>
      <w:lvlJc w:val="left"/>
      <w:pPr>
        <w:ind w:left="10972" w:hanging="360"/>
      </w:pPr>
    </w:lvl>
    <w:lvl w:ilvl="5" w:tplc="041B001B" w:tentative="1">
      <w:start w:val="1"/>
      <w:numFmt w:val="lowerRoman"/>
      <w:lvlText w:val="%6."/>
      <w:lvlJc w:val="right"/>
      <w:pPr>
        <w:ind w:left="11692" w:hanging="180"/>
      </w:pPr>
    </w:lvl>
    <w:lvl w:ilvl="6" w:tplc="041B000F" w:tentative="1">
      <w:start w:val="1"/>
      <w:numFmt w:val="decimal"/>
      <w:lvlText w:val="%7."/>
      <w:lvlJc w:val="left"/>
      <w:pPr>
        <w:ind w:left="12412" w:hanging="360"/>
      </w:pPr>
    </w:lvl>
    <w:lvl w:ilvl="7" w:tplc="041B0019" w:tentative="1">
      <w:start w:val="1"/>
      <w:numFmt w:val="lowerLetter"/>
      <w:lvlText w:val="%8."/>
      <w:lvlJc w:val="left"/>
      <w:pPr>
        <w:ind w:left="13132" w:hanging="360"/>
      </w:pPr>
    </w:lvl>
    <w:lvl w:ilvl="8" w:tplc="041B001B" w:tentative="1">
      <w:start w:val="1"/>
      <w:numFmt w:val="lowerRoman"/>
      <w:lvlText w:val="%9."/>
      <w:lvlJc w:val="right"/>
      <w:pPr>
        <w:ind w:left="1385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6D"/>
    <w:rsid w:val="00030B73"/>
    <w:rsid w:val="000F65BC"/>
    <w:rsid w:val="001C486D"/>
    <w:rsid w:val="00BC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2F6980-4101-47B9-A080-1BAB1BBA4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486D"/>
    <w:pPr>
      <w:spacing w:line="360" w:lineRule="auto"/>
    </w:pPr>
  </w:style>
  <w:style w:type="paragraph" w:styleId="Nadpis2">
    <w:name w:val="heading 2"/>
    <w:basedOn w:val="Normlny"/>
    <w:next w:val="Normlny"/>
    <w:link w:val="Nadpis2Char"/>
    <w:autoRedefine/>
    <w:qFormat/>
    <w:rsid w:val="001C486D"/>
    <w:pPr>
      <w:keepNext/>
      <w:widowControl w:val="0"/>
      <w:numPr>
        <w:numId w:val="2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1C486D"/>
    <w:rPr>
      <w:rFonts w:ascii="Times New Roman" w:eastAsia="Calibri" w:hAnsi="Times New Roman" w:cs="Arial"/>
      <w:b/>
      <w:bCs/>
      <w:i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1C48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1C4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C4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C486D"/>
  </w:style>
  <w:style w:type="paragraph" w:styleId="Pta">
    <w:name w:val="footer"/>
    <w:basedOn w:val="Normlny"/>
    <w:link w:val="PtaChar"/>
    <w:uiPriority w:val="99"/>
    <w:unhideWhenUsed/>
    <w:rsid w:val="001C48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C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Ján Tomus</cp:lastModifiedBy>
  <cp:revision>1</cp:revision>
  <dcterms:created xsi:type="dcterms:W3CDTF">2017-04-19T08:07:00Z</dcterms:created>
  <dcterms:modified xsi:type="dcterms:W3CDTF">2017-04-19T09:05:00Z</dcterms:modified>
</cp:coreProperties>
</file>